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outlineLvl w:val="2"/>
        <w:rPr>
          <w:rFonts w:hint="eastAsia" w:ascii="方正小标宋简体" w:hAnsi="宋体" w:eastAsia="方正小标宋简体"/>
          <w:sz w:val="32"/>
          <w:szCs w:val="32"/>
        </w:rPr>
      </w:pPr>
      <w:r>
        <w:rPr>
          <w:rFonts w:hint="eastAsia" w:ascii="方正小标宋简体" w:hAnsi="宋体" w:eastAsia="方正小标宋简体"/>
          <w:sz w:val="32"/>
          <w:szCs w:val="32"/>
        </w:rPr>
        <w:t>关于印发中央国家机关</w:t>
      </w:r>
    </w:p>
    <w:p>
      <w:pPr>
        <w:spacing w:line="500" w:lineRule="exact"/>
        <w:jc w:val="center"/>
        <w:outlineLvl w:val="2"/>
        <w:rPr>
          <w:rFonts w:hint="eastAsia" w:ascii="方正小标宋简体" w:eastAsia="方正小标宋简体"/>
          <w:sz w:val="32"/>
          <w:szCs w:val="32"/>
        </w:rPr>
      </w:pPr>
      <w:r>
        <w:rPr>
          <w:rFonts w:hint="eastAsia" w:ascii="方正小标宋简体" w:hAnsi="宋体" w:eastAsia="方正小标宋简体"/>
          <w:sz w:val="32"/>
          <w:szCs w:val="32"/>
        </w:rPr>
        <w:t>《行政单位财务规则》实施细则的通知</w:t>
      </w:r>
    </w:p>
    <w:p>
      <w:pPr>
        <w:spacing w:line="500" w:lineRule="exact"/>
        <w:jc w:val="center"/>
        <w:outlineLvl w:val="2"/>
        <w:rPr>
          <w:rFonts w:hint="eastAsia" w:ascii="楷体_GB2312" w:eastAsia="楷体_GB2312"/>
          <w:sz w:val="24"/>
        </w:rPr>
      </w:pPr>
      <w:r>
        <w:rPr>
          <w:rFonts w:hint="eastAsia" w:ascii="楷体_GB2312" w:eastAsia="楷体_GB2312"/>
          <w:sz w:val="24"/>
        </w:rPr>
        <w:t>（国管财字〔1998〕第266号）</w:t>
      </w:r>
    </w:p>
    <w:p>
      <w:pPr>
        <w:spacing w:line="400" w:lineRule="atLeast"/>
        <w:rPr>
          <w:rFonts w:hint="eastAsia" w:hAnsi="宋体"/>
          <w:sz w:val="24"/>
        </w:rPr>
      </w:pPr>
      <w:bookmarkStart w:id="0" w:name="_Toc205886150"/>
      <w:bookmarkStart w:id="1" w:name="_Toc205885138"/>
    </w:p>
    <w:p>
      <w:pPr>
        <w:spacing w:line="400" w:lineRule="atLeast"/>
        <w:rPr>
          <w:rFonts w:ascii="宋体" w:hAnsi="宋体"/>
          <w:sz w:val="24"/>
        </w:rPr>
      </w:pPr>
      <w:r>
        <w:rPr>
          <w:rFonts w:ascii="宋体" w:hAnsi="宋体"/>
          <w:sz w:val="24"/>
        </w:rPr>
        <w:t>国务院各部委、各直属机构：</w:t>
      </w:r>
      <w:bookmarkEnd w:id="0"/>
      <w:bookmarkEnd w:id="1"/>
    </w:p>
    <w:p>
      <w:pPr>
        <w:spacing w:line="400" w:lineRule="atLeast"/>
        <w:ind w:firstLine="480" w:firstLineChars="200"/>
        <w:rPr>
          <w:rFonts w:ascii="宋体" w:hAnsi="宋体"/>
          <w:sz w:val="24"/>
        </w:rPr>
      </w:pPr>
      <w:bookmarkStart w:id="2" w:name="_Toc205886151"/>
      <w:bookmarkStart w:id="3" w:name="_Toc205885139"/>
      <w:r>
        <w:rPr>
          <w:rFonts w:ascii="宋体" w:hAnsi="宋体"/>
          <w:sz w:val="24"/>
        </w:rPr>
        <w:t>根据财政部制定的《行政单位财务规则》，结合中央国家机关的实际情况，我们制定了《中央国家机关〈行政单位财务规则〉实施细则》，现印发给你们，请按照执行。</w:t>
      </w:r>
      <w:bookmarkEnd w:id="2"/>
      <w:bookmarkEnd w:id="3"/>
    </w:p>
    <w:p>
      <w:pPr>
        <w:spacing w:line="400" w:lineRule="atLeast"/>
        <w:ind w:firstLine="480" w:firstLineChars="200"/>
        <w:rPr>
          <w:rFonts w:hint="eastAsia" w:ascii="宋体" w:hAnsi="宋体"/>
          <w:sz w:val="24"/>
        </w:rPr>
      </w:pPr>
    </w:p>
    <w:p>
      <w:pPr>
        <w:spacing w:line="400" w:lineRule="atLeast"/>
        <w:ind w:firstLine="480" w:firstLineChars="200"/>
        <w:rPr>
          <w:rFonts w:hint="eastAsia" w:ascii="宋体" w:hAnsi="宋体"/>
          <w:sz w:val="24"/>
        </w:rPr>
      </w:pPr>
    </w:p>
    <w:p>
      <w:pPr>
        <w:spacing w:line="400" w:lineRule="atLeast"/>
        <w:ind w:firstLine="5640" w:firstLineChars="2350"/>
        <w:rPr>
          <w:rFonts w:hint="eastAsia" w:ascii="宋体" w:hAnsi="宋体"/>
          <w:sz w:val="24"/>
        </w:rPr>
      </w:pPr>
      <w:bookmarkStart w:id="264" w:name="_GoBack"/>
      <w:bookmarkEnd w:id="264"/>
      <w:r>
        <w:rPr>
          <w:rFonts w:ascii="宋体" w:hAnsi="宋体"/>
          <w:sz w:val="24"/>
        </w:rPr>
        <w:t>国管局</w:t>
      </w:r>
      <w:r>
        <w:rPr>
          <w:rFonts w:hint="eastAsia" w:ascii="宋体" w:hAnsi="宋体"/>
          <w:sz w:val="24"/>
        </w:rPr>
        <w:t xml:space="preserve">  </w:t>
      </w:r>
    </w:p>
    <w:p>
      <w:pPr>
        <w:spacing w:line="400" w:lineRule="atLeast"/>
        <w:ind w:right="945" w:rightChars="450" w:firstLine="480" w:firstLineChars="200"/>
        <w:jc w:val="right"/>
        <w:rPr>
          <w:rFonts w:ascii="宋体" w:hAnsi="宋体"/>
          <w:sz w:val="24"/>
        </w:rPr>
      </w:pPr>
      <w:bookmarkStart w:id="4" w:name="_Toc205886152"/>
      <w:bookmarkStart w:id="5" w:name="_Toc205885140"/>
      <w:r>
        <w:rPr>
          <w:rFonts w:ascii="宋体" w:hAnsi="宋体"/>
          <w:sz w:val="24"/>
        </w:rPr>
        <w:t>一九九八年十月二十八日</w:t>
      </w:r>
      <w:bookmarkEnd w:id="4"/>
      <w:bookmarkEnd w:id="5"/>
    </w:p>
    <w:p>
      <w:pPr>
        <w:spacing w:line="400" w:lineRule="atLeast"/>
        <w:rPr>
          <w:rFonts w:hint="eastAsia"/>
          <w:sz w:val="24"/>
        </w:rPr>
      </w:pPr>
    </w:p>
    <w:p>
      <w:pPr>
        <w:spacing w:line="500" w:lineRule="exact"/>
        <w:jc w:val="center"/>
        <w:rPr>
          <w:rFonts w:hint="eastAsia" w:ascii="方正小标宋简体" w:hAnsi="宋体" w:eastAsia="方正小标宋简体"/>
          <w:sz w:val="32"/>
          <w:szCs w:val="32"/>
        </w:rPr>
      </w:pPr>
      <w:bookmarkStart w:id="6" w:name="_Toc205886153"/>
      <w:bookmarkStart w:id="7" w:name="_Toc205885141"/>
      <w:r>
        <w:rPr>
          <w:rFonts w:hint="eastAsia" w:ascii="方正小标宋简体" w:hAnsi="宋体" w:eastAsia="方正小标宋简体"/>
          <w:sz w:val="32"/>
          <w:szCs w:val="32"/>
        </w:rPr>
        <w:t>中央国家机关《行政单位财务规则》实施细则</w:t>
      </w:r>
      <w:bookmarkEnd w:id="6"/>
      <w:bookmarkEnd w:id="7"/>
    </w:p>
    <w:p>
      <w:pPr>
        <w:spacing w:line="400" w:lineRule="exact"/>
        <w:jc w:val="center"/>
        <w:rPr>
          <w:rFonts w:hint="eastAsia" w:ascii="方正小标宋简体" w:eastAsia="方正小标宋简体"/>
          <w:sz w:val="32"/>
          <w:szCs w:val="32"/>
        </w:rPr>
      </w:pPr>
    </w:p>
    <w:p>
      <w:pPr>
        <w:spacing w:before="203" w:beforeLines="50" w:after="203" w:afterLines="50" w:line="400" w:lineRule="atLeast"/>
        <w:jc w:val="center"/>
        <w:rPr>
          <w:rFonts w:eastAsia="黑体"/>
          <w:sz w:val="24"/>
        </w:rPr>
      </w:pPr>
      <w:bookmarkStart w:id="8" w:name="_Toc205885142"/>
      <w:bookmarkStart w:id="9" w:name="_Toc205886154"/>
      <w:r>
        <w:rPr>
          <w:rFonts w:eastAsia="黑体"/>
          <w:sz w:val="24"/>
        </w:rPr>
        <w:t>第一章  总</w:t>
      </w:r>
      <w:r>
        <w:rPr>
          <w:rFonts w:hint="eastAsia" w:eastAsia="黑体"/>
          <w:sz w:val="24"/>
        </w:rPr>
        <w:t xml:space="preserve">  </w:t>
      </w:r>
      <w:r>
        <w:rPr>
          <w:rFonts w:eastAsia="黑体"/>
          <w:sz w:val="24"/>
        </w:rPr>
        <w:t>则</w:t>
      </w:r>
      <w:bookmarkEnd w:id="8"/>
      <w:bookmarkEnd w:id="9"/>
    </w:p>
    <w:p>
      <w:pPr>
        <w:spacing w:line="400" w:lineRule="atLeast"/>
        <w:ind w:firstLine="482" w:firstLineChars="200"/>
        <w:rPr>
          <w:rFonts w:hint="eastAsia"/>
          <w:sz w:val="24"/>
        </w:rPr>
      </w:pPr>
      <w:bookmarkStart w:id="10" w:name="_Toc205886155"/>
      <w:bookmarkStart w:id="11" w:name="_Toc205885143"/>
      <w:r>
        <w:rPr>
          <w:rFonts w:hAnsi="宋体"/>
          <w:b/>
          <w:sz w:val="24"/>
        </w:rPr>
        <w:t>第一条</w:t>
      </w:r>
      <w:r>
        <w:rPr>
          <w:b/>
          <w:sz w:val="24"/>
        </w:rPr>
        <w:t xml:space="preserve"> </w:t>
      </w:r>
      <w:r>
        <w:rPr>
          <w:sz w:val="24"/>
        </w:rPr>
        <w:t xml:space="preserve"> </w:t>
      </w:r>
      <w:r>
        <w:rPr>
          <w:rFonts w:hAnsi="宋体"/>
          <w:sz w:val="24"/>
        </w:rPr>
        <w:t>为规范中央国家机关各部门的行政财务行为，加强财务管理，提高资金使用效益，保障各部门行政工作任务的完成，根据财政部印发的《行政单位财务规则》，结合中央国家机关的实际情况，制定本实施细则。</w:t>
      </w:r>
      <w:bookmarkEnd w:id="10"/>
      <w:bookmarkEnd w:id="11"/>
      <w:r>
        <w:rPr>
          <w:sz w:val="24"/>
        </w:rPr>
        <w:t xml:space="preserve"> </w:t>
      </w:r>
      <w:bookmarkStart w:id="12" w:name="_Toc205886156"/>
      <w:bookmarkStart w:id="13" w:name="_Toc205885144"/>
    </w:p>
    <w:p>
      <w:pPr>
        <w:spacing w:line="400" w:lineRule="atLeast"/>
        <w:ind w:firstLine="482" w:firstLineChars="200"/>
        <w:rPr>
          <w:rFonts w:hint="eastAsia" w:hAnsi="宋体"/>
          <w:sz w:val="24"/>
        </w:rPr>
      </w:pPr>
      <w:r>
        <w:rPr>
          <w:rFonts w:hAnsi="宋体"/>
          <w:b/>
          <w:sz w:val="24"/>
        </w:rPr>
        <w:t>第二条</w:t>
      </w:r>
      <w:r>
        <w:rPr>
          <w:b/>
          <w:sz w:val="24"/>
        </w:rPr>
        <w:t xml:space="preserve"> </w:t>
      </w:r>
      <w:r>
        <w:rPr>
          <w:sz w:val="24"/>
        </w:rPr>
        <w:t xml:space="preserve"> </w:t>
      </w:r>
      <w:r>
        <w:rPr>
          <w:rFonts w:hAnsi="宋体"/>
          <w:sz w:val="24"/>
        </w:rPr>
        <w:t>国务院各部门、各直属机构，最高人民法院、最高人民检察院，以及实行预算管理的其他事业单位和社会团体（以下统称各部门）的行政财务活动，应遵守本实施细则。</w:t>
      </w:r>
      <w:bookmarkEnd w:id="12"/>
      <w:bookmarkEnd w:id="13"/>
    </w:p>
    <w:p>
      <w:pPr>
        <w:spacing w:line="400" w:lineRule="atLeast"/>
        <w:ind w:firstLine="482" w:firstLineChars="200"/>
        <w:rPr>
          <w:sz w:val="24"/>
        </w:rPr>
      </w:pPr>
      <w:bookmarkStart w:id="14" w:name="_Toc205886157"/>
      <w:bookmarkStart w:id="15" w:name="_Toc205885145"/>
      <w:r>
        <w:rPr>
          <w:rFonts w:hAnsi="宋体"/>
          <w:b/>
          <w:sz w:val="24"/>
        </w:rPr>
        <w:t>第三条</w:t>
      </w:r>
      <w:r>
        <w:rPr>
          <w:b/>
          <w:sz w:val="24"/>
        </w:rPr>
        <w:t xml:space="preserve"> </w:t>
      </w:r>
      <w:r>
        <w:rPr>
          <w:sz w:val="24"/>
        </w:rPr>
        <w:t xml:space="preserve"> </w:t>
      </w:r>
      <w:r>
        <w:rPr>
          <w:rFonts w:hAnsi="宋体"/>
          <w:sz w:val="24"/>
        </w:rPr>
        <w:t>各部门必须依据国家有关法律、法规和财务规章制度开展行政财务活动。在财务管理工作中，要厉行节约，制止奢侈浪费，量入为出，科学、合理地安排各项支出，注重资金使用效益。</w:t>
      </w:r>
      <w:bookmarkEnd w:id="14"/>
      <w:bookmarkEnd w:id="15"/>
    </w:p>
    <w:p>
      <w:pPr>
        <w:spacing w:before="203" w:beforeLines="50" w:after="203" w:afterLines="50" w:line="400" w:lineRule="atLeast"/>
        <w:jc w:val="center"/>
        <w:rPr>
          <w:rFonts w:eastAsia="黑体"/>
          <w:sz w:val="24"/>
        </w:rPr>
      </w:pPr>
      <w:bookmarkStart w:id="16" w:name="_Toc205885146"/>
      <w:bookmarkStart w:id="17" w:name="_Toc205886158"/>
      <w:r>
        <w:rPr>
          <w:rFonts w:eastAsia="黑体"/>
          <w:sz w:val="24"/>
        </w:rPr>
        <w:t>第二章  任务、机构、人员</w:t>
      </w:r>
      <w:bookmarkEnd w:id="16"/>
      <w:bookmarkEnd w:id="17"/>
    </w:p>
    <w:p>
      <w:pPr>
        <w:spacing w:line="400" w:lineRule="atLeast"/>
        <w:ind w:firstLine="482" w:firstLineChars="200"/>
        <w:rPr>
          <w:rFonts w:hint="eastAsia" w:hAnsi="宋体"/>
          <w:sz w:val="24"/>
        </w:rPr>
      </w:pPr>
      <w:bookmarkStart w:id="18" w:name="_Toc205886159"/>
      <w:bookmarkStart w:id="19" w:name="_Toc205885147"/>
      <w:r>
        <w:rPr>
          <w:rFonts w:hAnsi="宋体"/>
          <w:b/>
          <w:sz w:val="24"/>
        </w:rPr>
        <w:t>第四条</w:t>
      </w:r>
      <w:r>
        <w:rPr>
          <w:sz w:val="24"/>
        </w:rPr>
        <w:t xml:space="preserve">  </w:t>
      </w:r>
      <w:r>
        <w:rPr>
          <w:rFonts w:hAnsi="宋体"/>
          <w:sz w:val="24"/>
        </w:rPr>
        <w:t>行政财务管理的基本任务是：</w:t>
      </w:r>
      <w:bookmarkEnd w:id="18"/>
      <w:bookmarkEnd w:id="19"/>
    </w:p>
    <w:p>
      <w:pPr>
        <w:spacing w:line="400" w:lineRule="atLeast"/>
        <w:ind w:firstLine="480" w:firstLineChars="200"/>
        <w:rPr>
          <w:rFonts w:hint="eastAsia" w:hAnsi="宋体"/>
          <w:sz w:val="24"/>
        </w:rPr>
      </w:pPr>
      <w:bookmarkStart w:id="20" w:name="_Toc205885148"/>
      <w:bookmarkStart w:id="21" w:name="_Toc205886160"/>
      <w:r>
        <w:rPr>
          <w:rFonts w:hAnsi="宋体"/>
          <w:sz w:val="24"/>
        </w:rPr>
        <w:t>（一）根据本部门工作任务的需要和主管预算单位的要求，编制本部门的预算；</w:t>
      </w:r>
      <w:bookmarkEnd w:id="20"/>
      <w:bookmarkEnd w:id="21"/>
    </w:p>
    <w:p>
      <w:pPr>
        <w:spacing w:line="400" w:lineRule="atLeast"/>
        <w:ind w:firstLine="480" w:firstLineChars="200"/>
        <w:rPr>
          <w:rFonts w:hint="eastAsia" w:hAnsi="宋体"/>
          <w:sz w:val="24"/>
        </w:rPr>
      </w:pPr>
      <w:bookmarkStart w:id="22" w:name="_Toc205885149"/>
      <w:bookmarkStart w:id="23" w:name="_Toc205886161"/>
      <w:r>
        <w:rPr>
          <w:rFonts w:hAnsi="宋体"/>
          <w:sz w:val="24"/>
        </w:rPr>
        <w:t>（二）依照国家有关法规，搞好预算外资金收入和其他收入管理；</w:t>
      </w:r>
      <w:bookmarkEnd w:id="22"/>
      <w:bookmarkEnd w:id="23"/>
    </w:p>
    <w:p>
      <w:pPr>
        <w:spacing w:line="400" w:lineRule="atLeast"/>
        <w:ind w:firstLine="480" w:firstLineChars="200"/>
        <w:rPr>
          <w:rFonts w:hint="eastAsia" w:hAnsi="宋体"/>
          <w:sz w:val="24"/>
        </w:rPr>
      </w:pPr>
      <w:bookmarkStart w:id="24" w:name="_Toc205886162"/>
      <w:bookmarkStart w:id="25" w:name="_Toc205885150"/>
      <w:r>
        <w:rPr>
          <w:rFonts w:hAnsi="宋体"/>
          <w:sz w:val="24"/>
        </w:rPr>
        <w:t>（三）根据核定的预算，统筹安排、使用各项资金，保障本部门正常运转的资金需要；</w:t>
      </w:r>
      <w:bookmarkEnd w:id="24"/>
      <w:bookmarkEnd w:id="25"/>
    </w:p>
    <w:p>
      <w:pPr>
        <w:spacing w:line="400" w:lineRule="atLeast"/>
        <w:ind w:firstLine="480" w:firstLineChars="200"/>
        <w:rPr>
          <w:rFonts w:hint="eastAsia" w:hAnsi="宋体"/>
          <w:sz w:val="24"/>
        </w:rPr>
      </w:pPr>
      <w:bookmarkStart w:id="26" w:name="_Toc205886163"/>
      <w:bookmarkStart w:id="27" w:name="_Toc205885151"/>
      <w:r>
        <w:rPr>
          <w:rFonts w:hAnsi="宋体"/>
          <w:sz w:val="24"/>
        </w:rPr>
        <w:t>（四）加强国有资产价值形态的管理，防止国有资产流失；</w:t>
      </w:r>
      <w:bookmarkEnd w:id="26"/>
      <w:bookmarkEnd w:id="27"/>
    </w:p>
    <w:p>
      <w:pPr>
        <w:spacing w:line="400" w:lineRule="atLeast"/>
        <w:ind w:firstLine="480" w:firstLineChars="200"/>
        <w:rPr>
          <w:rFonts w:hint="eastAsia" w:hAnsi="宋体"/>
          <w:sz w:val="24"/>
        </w:rPr>
      </w:pPr>
      <w:bookmarkStart w:id="28" w:name="_Toc205886164"/>
      <w:bookmarkStart w:id="29" w:name="_Toc205885152"/>
      <w:r>
        <w:rPr>
          <w:rFonts w:hAnsi="宋体"/>
          <w:sz w:val="24"/>
        </w:rPr>
        <w:t>（五）定期编制财务报告，如实反映财务收支状况，科学分析财务活动，积极参与财务决策；</w:t>
      </w:r>
      <w:bookmarkEnd w:id="28"/>
      <w:bookmarkEnd w:id="29"/>
    </w:p>
    <w:p>
      <w:pPr>
        <w:spacing w:line="400" w:lineRule="atLeast"/>
        <w:ind w:firstLine="480" w:firstLineChars="200"/>
        <w:rPr>
          <w:rFonts w:hint="eastAsia" w:hAnsi="宋体"/>
          <w:sz w:val="24"/>
        </w:rPr>
      </w:pPr>
      <w:bookmarkStart w:id="30" w:name="_Toc205885153"/>
      <w:bookmarkStart w:id="31" w:name="_Toc205886165"/>
      <w:r>
        <w:rPr>
          <w:rFonts w:hAnsi="宋体"/>
          <w:sz w:val="24"/>
        </w:rPr>
        <w:t>（六）建立、健全内部财务管理的各项规章制度，对本部门的行政财务活动进行控制、监督，厉行节约，制止奢侈浪费，不断提高资金使用效益；</w:t>
      </w:r>
      <w:bookmarkEnd w:id="30"/>
      <w:bookmarkEnd w:id="31"/>
    </w:p>
    <w:p>
      <w:pPr>
        <w:spacing w:line="400" w:lineRule="atLeast"/>
        <w:ind w:firstLine="480" w:firstLineChars="200"/>
        <w:rPr>
          <w:sz w:val="24"/>
        </w:rPr>
      </w:pPr>
      <w:bookmarkStart w:id="32" w:name="_Toc205886166"/>
      <w:bookmarkStart w:id="33" w:name="_Toc205885154"/>
      <w:r>
        <w:rPr>
          <w:rFonts w:hAnsi="宋体"/>
          <w:sz w:val="24"/>
        </w:rPr>
        <w:t>（七）对机关后勤服务单位的有关财务活动进行指导和监督；</w:t>
      </w:r>
      <w:bookmarkEnd w:id="32"/>
      <w:bookmarkEnd w:id="33"/>
    </w:p>
    <w:p>
      <w:pPr>
        <w:spacing w:line="400" w:lineRule="atLeast"/>
        <w:ind w:firstLine="480" w:firstLineChars="200"/>
        <w:rPr>
          <w:rFonts w:hint="eastAsia"/>
          <w:sz w:val="24"/>
        </w:rPr>
      </w:pPr>
      <w:bookmarkStart w:id="34" w:name="_Toc205885155"/>
      <w:bookmarkStart w:id="35" w:name="_Toc205886167"/>
      <w:r>
        <w:rPr>
          <w:rFonts w:hAnsi="宋体"/>
          <w:sz w:val="24"/>
        </w:rPr>
        <w:t>（八）完成上级主管部门和本部门领导交办的其他各项工作。</w:t>
      </w:r>
      <w:bookmarkEnd w:id="34"/>
      <w:bookmarkEnd w:id="35"/>
      <w:r>
        <w:rPr>
          <w:sz w:val="24"/>
        </w:rPr>
        <w:t xml:space="preserve"> </w:t>
      </w:r>
    </w:p>
    <w:p>
      <w:pPr>
        <w:spacing w:line="400" w:lineRule="atLeast"/>
        <w:ind w:firstLine="482" w:firstLineChars="200"/>
        <w:rPr>
          <w:rFonts w:hint="eastAsia" w:hAnsi="宋体"/>
          <w:sz w:val="24"/>
        </w:rPr>
      </w:pPr>
      <w:bookmarkStart w:id="36" w:name="_Toc205886168"/>
      <w:bookmarkStart w:id="37" w:name="_Toc205885156"/>
      <w:r>
        <w:rPr>
          <w:rFonts w:hAnsi="宋体"/>
          <w:b/>
          <w:sz w:val="24"/>
        </w:rPr>
        <w:t>第五条</w:t>
      </w:r>
      <w:r>
        <w:rPr>
          <w:b/>
          <w:sz w:val="24"/>
        </w:rPr>
        <w:t xml:space="preserve"> </w:t>
      </w:r>
      <w:r>
        <w:rPr>
          <w:sz w:val="24"/>
        </w:rPr>
        <w:t xml:space="preserve"> </w:t>
      </w:r>
      <w:r>
        <w:rPr>
          <w:rFonts w:hAnsi="宋体"/>
          <w:sz w:val="24"/>
        </w:rPr>
        <w:t>各部门应设置相应的行政财务管理部门，并配备必要的财务人员。个别人员编制少或财务工作量小的部门，经上级主管部门批准，可不设立专门的财务管理机构，作为单据报销单位管理。</w:t>
      </w:r>
      <w:bookmarkEnd w:id="36"/>
      <w:bookmarkEnd w:id="37"/>
    </w:p>
    <w:p>
      <w:pPr>
        <w:spacing w:line="400" w:lineRule="atLeast"/>
        <w:ind w:firstLine="482" w:firstLineChars="200"/>
        <w:rPr>
          <w:rFonts w:hint="eastAsia" w:hAnsi="宋体"/>
          <w:sz w:val="24"/>
        </w:rPr>
      </w:pPr>
      <w:bookmarkStart w:id="38" w:name="_Toc205885157"/>
      <w:bookmarkStart w:id="39" w:name="_Toc205886169"/>
      <w:r>
        <w:rPr>
          <w:rFonts w:hAnsi="宋体"/>
          <w:b/>
          <w:sz w:val="24"/>
        </w:rPr>
        <w:t>第六条</w:t>
      </w:r>
      <w:r>
        <w:rPr>
          <w:b/>
          <w:sz w:val="24"/>
        </w:rPr>
        <w:t xml:space="preserve">  </w:t>
      </w:r>
      <w:r>
        <w:rPr>
          <w:rFonts w:hAnsi="宋体"/>
          <w:sz w:val="24"/>
        </w:rPr>
        <w:t>各部门行政财务管理部门负责人要有较强业务和组织能力，能坚持原则、廉洁奉公，并具备相当于会计师以上专业技术水平。</w:t>
      </w:r>
    </w:p>
    <w:p>
      <w:pPr>
        <w:spacing w:line="400" w:lineRule="atLeast"/>
        <w:ind w:firstLine="480" w:firstLineChars="200"/>
        <w:rPr>
          <w:rFonts w:hint="eastAsia"/>
          <w:sz w:val="24"/>
        </w:rPr>
      </w:pPr>
      <w:r>
        <w:rPr>
          <w:rFonts w:hAnsi="宋体"/>
          <w:sz w:val="24"/>
        </w:rPr>
        <w:t>行政财务人员必须具有财务会计专业或相近专业大专以上学历，遵守职业道德，并持有会计征。行政财务人员应保持相对稳定。</w:t>
      </w:r>
      <w:bookmarkEnd w:id="38"/>
      <w:bookmarkEnd w:id="39"/>
      <w:r>
        <w:rPr>
          <w:sz w:val="24"/>
        </w:rPr>
        <w:t xml:space="preserve"> </w:t>
      </w:r>
    </w:p>
    <w:p>
      <w:pPr>
        <w:spacing w:line="400" w:lineRule="atLeast"/>
        <w:ind w:firstLine="482" w:firstLineChars="200"/>
        <w:rPr>
          <w:sz w:val="24"/>
        </w:rPr>
      </w:pPr>
      <w:bookmarkStart w:id="40" w:name="_Toc205886170"/>
      <w:bookmarkStart w:id="41" w:name="_Toc205885158"/>
      <w:r>
        <w:rPr>
          <w:rFonts w:hAnsi="宋体"/>
          <w:b/>
          <w:sz w:val="24"/>
        </w:rPr>
        <w:t>第七条</w:t>
      </w:r>
      <w:r>
        <w:rPr>
          <w:sz w:val="24"/>
        </w:rPr>
        <w:t xml:space="preserve">  </w:t>
      </w:r>
      <w:r>
        <w:rPr>
          <w:rFonts w:hAnsi="宋体"/>
          <w:sz w:val="24"/>
        </w:rPr>
        <w:t>行政财务活动应在部门行政负责人的领导下，由行政财务管理部门统一管理，不得随意分散管理，确有必要分散管理的，应报上级主管部门批准。</w:t>
      </w:r>
      <w:bookmarkEnd w:id="40"/>
      <w:bookmarkEnd w:id="41"/>
    </w:p>
    <w:p>
      <w:pPr>
        <w:spacing w:before="203" w:beforeLines="50" w:after="203" w:afterLines="50" w:line="400" w:lineRule="atLeast"/>
        <w:jc w:val="center"/>
        <w:rPr>
          <w:rFonts w:eastAsia="黑体"/>
          <w:sz w:val="24"/>
        </w:rPr>
      </w:pPr>
      <w:bookmarkStart w:id="42" w:name="_Toc205885159"/>
      <w:bookmarkStart w:id="43" w:name="_Toc205886171"/>
      <w:r>
        <w:rPr>
          <w:rFonts w:eastAsia="黑体"/>
          <w:sz w:val="24"/>
        </w:rPr>
        <w:t>第三章  预算管理</w:t>
      </w:r>
      <w:bookmarkEnd w:id="42"/>
      <w:bookmarkEnd w:id="43"/>
    </w:p>
    <w:p>
      <w:pPr>
        <w:spacing w:line="400" w:lineRule="atLeast"/>
        <w:ind w:firstLine="482" w:firstLineChars="200"/>
        <w:rPr>
          <w:rFonts w:hint="eastAsia" w:ascii="宋体" w:hAnsi="宋体"/>
          <w:sz w:val="24"/>
        </w:rPr>
      </w:pPr>
      <w:bookmarkStart w:id="44" w:name="_Toc205885160"/>
      <w:bookmarkStart w:id="45" w:name="_Toc205886172"/>
      <w:r>
        <w:rPr>
          <w:rFonts w:ascii="宋体" w:hAnsi="宋体"/>
          <w:b/>
          <w:sz w:val="24"/>
        </w:rPr>
        <w:t>第八条</w:t>
      </w:r>
      <w:r>
        <w:rPr>
          <w:rFonts w:ascii="宋体" w:hAnsi="宋体"/>
          <w:sz w:val="24"/>
        </w:rPr>
        <w:t xml:space="preserve">  预算是指各部门为完成工作任务，按照上级主管部门要求编制的年度财务收支计划。各部门的预算包括收入预算和支出预算。</w:t>
      </w:r>
      <w:bookmarkEnd w:id="44"/>
      <w:bookmarkEnd w:id="45"/>
      <w:bookmarkStart w:id="46" w:name="_Toc205886173"/>
      <w:bookmarkStart w:id="47" w:name="_Toc205885161"/>
    </w:p>
    <w:p>
      <w:pPr>
        <w:spacing w:line="400" w:lineRule="atLeast"/>
        <w:ind w:firstLine="482" w:firstLineChars="200"/>
        <w:rPr>
          <w:rFonts w:hint="eastAsia" w:ascii="宋体" w:hAnsi="宋体"/>
          <w:sz w:val="24"/>
        </w:rPr>
      </w:pPr>
      <w:r>
        <w:rPr>
          <w:rFonts w:ascii="宋体" w:hAnsi="宋体"/>
          <w:b/>
          <w:sz w:val="24"/>
        </w:rPr>
        <w:t>第九条</w:t>
      </w:r>
      <w:r>
        <w:rPr>
          <w:rFonts w:ascii="宋体" w:hAnsi="宋体"/>
          <w:sz w:val="24"/>
        </w:rPr>
        <w:t xml:space="preserve">  按照预算管理权限和经费领拨关系，中央国家机关的预算管理分为下列三个级次；</w:t>
      </w:r>
      <w:bookmarkEnd w:id="46"/>
      <w:bookmarkEnd w:id="47"/>
      <w:bookmarkStart w:id="48" w:name="_Toc205886174"/>
      <w:bookmarkStart w:id="49" w:name="_Toc205885162"/>
    </w:p>
    <w:p>
      <w:pPr>
        <w:spacing w:line="400" w:lineRule="atLeast"/>
        <w:ind w:firstLine="480" w:firstLineChars="200"/>
        <w:rPr>
          <w:rFonts w:hint="eastAsia" w:ascii="宋体" w:hAnsi="宋体"/>
          <w:sz w:val="24"/>
        </w:rPr>
      </w:pPr>
      <w:r>
        <w:rPr>
          <w:rFonts w:ascii="宋体" w:hAnsi="宋体"/>
          <w:sz w:val="24"/>
        </w:rPr>
        <w:t>（一）向财政部报领经费的国务院机关事务管理局（以下简称国管局）,是中央国家机关行政经费预算的主管预算单位；</w:t>
      </w:r>
      <w:bookmarkEnd w:id="48"/>
      <w:bookmarkEnd w:id="49"/>
    </w:p>
    <w:p>
      <w:pPr>
        <w:spacing w:line="400" w:lineRule="atLeast"/>
        <w:ind w:firstLine="480" w:firstLineChars="200"/>
        <w:rPr>
          <w:rFonts w:hint="eastAsia" w:ascii="宋体" w:hAnsi="宋体"/>
          <w:sz w:val="24"/>
        </w:rPr>
      </w:pPr>
      <w:bookmarkStart w:id="50" w:name="_Toc205886175"/>
      <w:bookmarkStart w:id="51" w:name="_Toc205885163"/>
      <w:r>
        <w:rPr>
          <w:rFonts w:ascii="宋体" w:hAnsi="宋体"/>
          <w:sz w:val="24"/>
        </w:rPr>
        <w:t>（二）向国管局报领经费，并对下级部门核拨经费的单位，为二级预算单位；</w:t>
      </w:r>
      <w:bookmarkEnd w:id="50"/>
      <w:bookmarkEnd w:id="51"/>
    </w:p>
    <w:p>
      <w:pPr>
        <w:spacing w:line="400" w:lineRule="atLeast"/>
        <w:ind w:firstLine="480" w:firstLineChars="200"/>
        <w:rPr>
          <w:rFonts w:hint="eastAsia" w:ascii="宋体" w:hAnsi="宋体"/>
          <w:sz w:val="24"/>
        </w:rPr>
      </w:pPr>
      <w:bookmarkStart w:id="52" w:name="_Toc205885164"/>
      <w:bookmarkStart w:id="53" w:name="_Toc205886176"/>
      <w:r>
        <w:rPr>
          <w:rFonts w:ascii="宋体" w:hAnsi="宋体"/>
          <w:sz w:val="24"/>
        </w:rPr>
        <w:t>（三）向上级预算单位报领经费，没有下级拨款单位的；为基层预算单位。</w:t>
      </w:r>
      <w:bookmarkEnd w:id="52"/>
      <w:bookmarkEnd w:id="53"/>
    </w:p>
    <w:p>
      <w:pPr>
        <w:spacing w:line="400" w:lineRule="atLeast"/>
        <w:ind w:firstLine="482" w:firstLineChars="200"/>
        <w:rPr>
          <w:rFonts w:hint="eastAsia" w:ascii="宋体" w:hAnsi="宋体"/>
          <w:sz w:val="24"/>
        </w:rPr>
      </w:pPr>
      <w:bookmarkStart w:id="54" w:name="_Toc205885165"/>
      <w:bookmarkStart w:id="55" w:name="_Toc205886177"/>
      <w:r>
        <w:rPr>
          <w:rFonts w:ascii="宋体" w:hAnsi="宋体"/>
          <w:b/>
          <w:sz w:val="24"/>
        </w:rPr>
        <w:t>第十条</w:t>
      </w:r>
      <w:r>
        <w:rPr>
          <w:rFonts w:ascii="宋体" w:hAnsi="宋体"/>
          <w:sz w:val="24"/>
        </w:rPr>
        <w:t xml:space="preserve">  国管局负责中央国家机关各部门经费预算</w:t>
      </w:r>
      <w:r>
        <w:rPr>
          <w:rFonts w:hint="eastAsia" w:ascii="宋体" w:hAnsi="宋体"/>
          <w:sz w:val="24"/>
        </w:rPr>
        <w:t>的</w:t>
      </w:r>
      <w:r>
        <w:rPr>
          <w:rFonts w:ascii="宋体" w:hAnsi="宋体"/>
          <w:sz w:val="24"/>
        </w:rPr>
        <w:t>申请、领拨、分配、调整，以及执行情况的监督、检查，负责制定中央国家机关经费预算管理、财务管理办法及其监督执行工作，并向财政部负责；</w:t>
      </w:r>
    </w:p>
    <w:p>
      <w:pPr>
        <w:spacing w:line="400" w:lineRule="atLeast"/>
        <w:ind w:firstLine="480" w:firstLineChars="200"/>
        <w:rPr>
          <w:rFonts w:hint="eastAsia" w:ascii="宋体" w:hAnsi="宋体"/>
          <w:sz w:val="24"/>
        </w:rPr>
      </w:pPr>
      <w:r>
        <w:rPr>
          <w:rFonts w:ascii="宋体" w:hAnsi="宋体"/>
          <w:sz w:val="24"/>
        </w:rPr>
        <w:t>二级预算单位负责本部门和下一级预算单位经费预算的申请、领拨、分配、调整以及预算执行情况的监督、检查，制订本部门经费预算管理及财务管理的具体实施办法,并向国管局负责；</w:t>
      </w:r>
    </w:p>
    <w:p>
      <w:pPr>
        <w:spacing w:line="420" w:lineRule="atLeast"/>
        <w:ind w:firstLine="480" w:firstLineChars="200"/>
        <w:rPr>
          <w:rFonts w:hint="eastAsia" w:ascii="宋体" w:hAnsi="宋体"/>
          <w:sz w:val="24"/>
        </w:rPr>
      </w:pPr>
      <w:r>
        <w:rPr>
          <w:rFonts w:ascii="宋体" w:hAnsi="宋体"/>
          <w:sz w:val="24"/>
        </w:rPr>
        <w:t>基层预算单位负责本部门经费预算的申请和使用，制订本单位经费预算管理及财务管理具体实施办法，并向上级主管单位负责。</w:t>
      </w:r>
    </w:p>
    <w:p>
      <w:pPr>
        <w:spacing w:line="420" w:lineRule="atLeast"/>
        <w:ind w:firstLine="480" w:firstLineChars="200"/>
        <w:rPr>
          <w:rFonts w:hint="eastAsia" w:ascii="宋体" w:hAnsi="宋体"/>
          <w:sz w:val="24"/>
        </w:rPr>
      </w:pPr>
      <w:r>
        <w:rPr>
          <w:rFonts w:ascii="宋体" w:hAnsi="宋体"/>
          <w:sz w:val="24"/>
        </w:rPr>
        <w:t>各级预算单位应按上述预算管理级次和管理权限报领、核拨经费，并按照批准的预算组织实施。</w:t>
      </w:r>
      <w:bookmarkEnd w:id="54"/>
      <w:bookmarkEnd w:id="55"/>
    </w:p>
    <w:p>
      <w:pPr>
        <w:spacing w:line="420" w:lineRule="atLeast"/>
        <w:ind w:firstLine="482" w:firstLineChars="200"/>
        <w:rPr>
          <w:rFonts w:hint="eastAsia" w:ascii="宋体" w:hAnsi="宋体"/>
          <w:sz w:val="24"/>
        </w:rPr>
      </w:pPr>
      <w:bookmarkStart w:id="56" w:name="_Toc205885166"/>
      <w:bookmarkStart w:id="57" w:name="_Toc205886178"/>
      <w:r>
        <w:rPr>
          <w:rFonts w:ascii="宋体" w:hAnsi="宋体"/>
          <w:b/>
          <w:sz w:val="24"/>
        </w:rPr>
        <w:t>第十一条</w:t>
      </w:r>
      <w:r>
        <w:rPr>
          <w:rFonts w:ascii="宋体" w:hAnsi="宋体"/>
          <w:sz w:val="24"/>
        </w:rPr>
        <w:t xml:space="preserve">  中央国家机关经费预算实行收支统一管理，定额、定项拨款，结余留用的管理办法。</w:t>
      </w:r>
    </w:p>
    <w:p>
      <w:pPr>
        <w:spacing w:line="420" w:lineRule="atLeast"/>
        <w:ind w:firstLine="480" w:firstLineChars="200"/>
        <w:rPr>
          <w:rFonts w:hint="eastAsia" w:ascii="宋体" w:hAnsi="宋体"/>
          <w:sz w:val="24"/>
        </w:rPr>
      </w:pPr>
      <w:r>
        <w:rPr>
          <w:rFonts w:ascii="宋体" w:hAnsi="宋体"/>
          <w:sz w:val="24"/>
        </w:rPr>
        <w:t>各部门的各项收入和支出应当全部纳入单位预算统一管理，并由行政财务管理机构统筹安排使用。各部门取得的预算外资金收入和其他收入应当首先用于弥补经常性支出不足和必要的专项支出。</w:t>
      </w:r>
      <w:bookmarkEnd w:id="56"/>
      <w:bookmarkEnd w:id="57"/>
    </w:p>
    <w:p>
      <w:pPr>
        <w:spacing w:line="420" w:lineRule="atLeast"/>
        <w:ind w:firstLine="482" w:firstLineChars="200"/>
        <w:rPr>
          <w:rFonts w:hint="eastAsia" w:ascii="宋体" w:hAnsi="宋体"/>
          <w:sz w:val="24"/>
        </w:rPr>
      </w:pPr>
      <w:bookmarkStart w:id="58" w:name="_Toc205885167"/>
      <w:bookmarkStart w:id="59" w:name="_Toc205886179"/>
      <w:r>
        <w:rPr>
          <w:rFonts w:ascii="宋体" w:hAnsi="宋体"/>
          <w:b/>
          <w:sz w:val="24"/>
        </w:rPr>
        <w:t>第十二条</w:t>
      </w:r>
      <w:r>
        <w:rPr>
          <w:rFonts w:ascii="宋体" w:hAnsi="宋体"/>
          <w:sz w:val="24"/>
        </w:rPr>
        <w:t xml:space="preserve"> </w:t>
      </w:r>
      <w:r>
        <w:rPr>
          <w:rFonts w:hint="eastAsia" w:ascii="宋体" w:hAnsi="宋体"/>
          <w:sz w:val="24"/>
        </w:rPr>
        <w:t xml:space="preserve"> </w:t>
      </w:r>
      <w:r>
        <w:rPr>
          <w:rFonts w:ascii="宋体" w:hAnsi="宋体"/>
          <w:sz w:val="24"/>
        </w:rPr>
        <w:t>各部门的预算按下列程序编报和审批：</w:t>
      </w:r>
      <w:bookmarkEnd w:id="58"/>
      <w:bookmarkEnd w:id="59"/>
    </w:p>
    <w:p>
      <w:pPr>
        <w:spacing w:line="420" w:lineRule="atLeast"/>
        <w:ind w:firstLine="480" w:firstLineChars="200"/>
        <w:rPr>
          <w:rFonts w:hint="eastAsia" w:ascii="宋体" w:hAnsi="宋体"/>
          <w:sz w:val="24"/>
        </w:rPr>
      </w:pPr>
      <w:bookmarkStart w:id="60" w:name="_Toc205886180"/>
      <w:bookmarkStart w:id="61" w:name="_Toc205885168"/>
      <w:r>
        <w:rPr>
          <w:rFonts w:ascii="宋体" w:hAnsi="宋体"/>
          <w:sz w:val="24"/>
        </w:rPr>
        <w:t>（一）各部门根据下一年度工作任务和收入、支出增减因素，测算、编制下一年度收入、支出概算，于每年10月上旬报送国管局；</w:t>
      </w:r>
      <w:bookmarkEnd w:id="60"/>
      <w:bookmarkEnd w:id="61"/>
    </w:p>
    <w:p>
      <w:pPr>
        <w:spacing w:line="420" w:lineRule="atLeast"/>
        <w:ind w:firstLine="480" w:firstLineChars="200"/>
        <w:rPr>
          <w:rFonts w:hint="eastAsia" w:ascii="宋体" w:hAnsi="宋体"/>
          <w:sz w:val="24"/>
        </w:rPr>
      </w:pPr>
      <w:bookmarkStart w:id="62" w:name="_Toc205885169"/>
      <w:bookmarkStart w:id="63" w:name="_Toc205886181"/>
      <w:r>
        <w:rPr>
          <w:rFonts w:ascii="宋体" w:hAnsi="宋体"/>
          <w:sz w:val="24"/>
        </w:rPr>
        <w:t>（二）国管局审核、汇总各部门下一年度收入、支出概算后，于每年10月下旬报送财政部；</w:t>
      </w:r>
      <w:bookmarkEnd w:id="62"/>
      <w:bookmarkEnd w:id="63"/>
    </w:p>
    <w:p>
      <w:pPr>
        <w:spacing w:line="420" w:lineRule="atLeast"/>
        <w:ind w:firstLine="480" w:firstLineChars="200"/>
        <w:rPr>
          <w:rFonts w:hint="eastAsia" w:ascii="宋体" w:hAnsi="宋体"/>
          <w:sz w:val="24"/>
        </w:rPr>
      </w:pPr>
      <w:bookmarkStart w:id="64" w:name="_Toc205886182"/>
      <w:bookmarkStart w:id="65" w:name="_Toc205885170"/>
      <w:r>
        <w:rPr>
          <w:rFonts w:ascii="宋体" w:hAnsi="宋体"/>
          <w:sz w:val="24"/>
        </w:rPr>
        <w:t>（三）国管局根据财政部下达的预算指标，参考各部门的概算，核定各部门的经费预算；</w:t>
      </w:r>
      <w:bookmarkEnd w:id="64"/>
      <w:bookmarkEnd w:id="65"/>
    </w:p>
    <w:p>
      <w:pPr>
        <w:spacing w:line="420" w:lineRule="atLeast"/>
        <w:ind w:firstLine="480" w:firstLineChars="200"/>
        <w:rPr>
          <w:rFonts w:hint="eastAsia" w:ascii="宋体" w:hAnsi="宋体"/>
          <w:sz w:val="24"/>
        </w:rPr>
      </w:pPr>
      <w:bookmarkStart w:id="66" w:name="_Toc205885171"/>
      <w:bookmarkStart w:id="67" w:name="_Toc205886183"/>
      <w:r>
        <w:rPr>
          <w:rFonts w:ascii="宋体" w:hAnsi="宋体"/>
          <w:sz w:val="24"/>
        </w:rPr>
        <w:t>（四）各部门根据国管局核定的预算指标，正式编制年度预算，按规定时间报送，一式两份。</w:t>
      </w:r>
      <w:bookmarkEnd w:id="66"/>
      <w:bookmarkEnd w:id="67"/>
    </w:p>
    <w:p>
      <w:pPr>
        <w:spacing w:line="420" w:lineRule="atLeast"/>
        <w:ind w:firstLine="480" w:firstLineChars="200"/>
        <w:rPr>
          <w:rFonts w:hint="eastAsia" w:ascii="宋体" w:hAnsi="宋体"/>
          <w:sz w:val="24"/>
        </w:rPr>
      </w:pPr>
      <w:bookmarkStart w:id="68" w:name="_Toc205886184"/>
      <w:bookmarkStart w:id="69" w:name="_Toc205885172"/>
      <w:r>
        <w:rPr>
          <w:rFonts w:ascii="宋体" w:hAnsi="宋体"/>
          <w:sz w:val="24"/>
        </w:rPr>
        <w:t>（五）国管局核定各部门年度预算。</w:t>
      </w:r>
      <w:bookmarkEnd w:id="68"/>
      <w:bookmarkEnd w:id="69"/>
    </w:p>
    <w:p>
      <w:pPr>
        <w:spacing w:line="420" w:lineRule="atLeast"/>
        <w:ind w:firstLine="482" w:firstLineChars="200"/>
        <w:rPr>
          <w:rFonts w:hint="eastAsia" w:ascii="宋体" w:hAnsi="宋体"/>
          <w:sz w:val="24"/>
        </w:rPr>
      </w:pPr>
      <w:bookmarkStart w:id="70" w:name="_Toc205885173"/>
      <w:bookmarkStart w:id="71" w:name="_Toc205886185"/>
      <w:r>
        <w:rPr>
          <w:rFonts w:ascii="宋体" w:hAnsi="宋体"/>
          <w:b/>
          <w:sz w:val="24"/>
        </w:rPr>
        <w:t>第十三条</w:t>
      </w:r>
      <w:r>
        <w:rPr>
          <w:rFonts w:ascii="宋体" w:hAnsi="宋体"/>
          <w:sz w:val="24"/>
        </w:rPr>
        <w:t xml:space="preserve">  国管局按照以下办法核定各部门的预算</w:t>
      </w:r>
      <w:bookmarkEnd w:id="70"/>
      <w:bookmarkEnd w:id="71"/>
      <w:r>
        <w:rPr>
          <w:rFonts w:hint="eastAsia" w:ascii="宋体" w:hAnsi="宋体"/>
          <w:sz w:val="24"/>
        </w:rPr>
        <w:t>：</w:t>
      </w:r>
    </w:p>
    <w:p>
      <w:pPr>
        <w:spacing w:line="420" w:lineRule="atLeast"/>
        <w:ind w:firstLine="480" w:firstLineChars="200"/>
        <w:rPr>
          <w:rFonts w:hint="eastAsia" w:ascii="宋体" w:hAnsi="宋体"/>
          <w:sz w:val="24"/>
        </w:rPr>
      </w:pPr>
      <w:bookmarkStart w:id="72" w:name="_Toc205885174"/>
      <w:bookmarkStart w:id="73" w:name="_Toc205886186"/>
      <w:r>
        <w:rPr>
          <w:rFonts w:ascii="宋体" w:hAnsi="宋体"/>
          <w:sz w:val="24"/>
        </w:rPr>
        <w:t>（一）个人部分支出预算按照有关政策规定的开支标准确定；</w:t>
      </w:r>
      <w:bookmarkEnd w:id="72"/>
      <w:bookmarkEnd w:id="73"/>
    </w:p>
    <w:p>
      <w:pPr>
        <w:spacing w:line="420" w:lineRule="atLeast"/>
        <w:ind w:firstLine="480" w:firstLineChars="200"/>
        <w:rPr>
          <w:rFonts w:hint="eastAsia" w:ascii="宋体" w:hAnsi="宋体"/>
          <w:sz w:val="24"/>
        </w:rPr>
      </w:pPr>
      <w:bookmarkStart w:id="74" w:name="_Toc205885175"/>
      <w:bookmarkStart w:id="75" w:name="_Toc205886187"/>
      <w:r>
        <w:rPr>
          <w:rFonts w:ascii="宋体" w:hAnsi="宋体"/>
          <w:sz w:val="24"/>
        </w:rPr>
        <w:t>（二）公用部分支出预算按照保证需要、节约开支和公开、公平、合理的原则，根据人员编制和确定的预算定额核定；</w:t>
      </w:r>
      <w:bookmarkEnd w:id="74"/>
      <w:bookmarkEnd w:id="75"/>
    </w:p>
    <w:p>
      <w:pPr>
        <w:spacing w:line="420" w:lineRule="atLeast"/>
        <w:ind w:firstLine="480" w:firstLineChars="200"/>
        <w:rPr>
          <w:rFonts w:hint="eastAsia" w:ascii="宋体" w:hAnsi="宋体"/>
          <w:sz w:val="24"/>
        </w:rPr>
      </w:pPr>
      <w:bookmarkStart w:id="76" w:name="_Toc205886188"/>
      <w:bookmarkStart w:id="77" w:name="_Toc205885176"/>
      <w:r>
        <w:rPr>
          <w:rFonts w:ascii="宋体" w:hAnsi="宋体"/>
          <w:sz w:val="24"/>
        </w:rPr>
        <w:t>（三）专项经费根据财政部核定的专项经费预算指标或当年可调剂的财力，按照兼顾需要和可能的原则核定。</w:t>
      </w:r>
      <w:bookmarkEnd w:id="76"/>
      <w:bookmarkEnd w:id="77"/>
    </w:p>
    <w:p>
      <w:pPr>
        <w:spacing w:line="420" w:lineRule="atLeast"/>
        <w:ind w:firstLine="480" w:firstLineChars="200"/>
        <w:rPr>
          <w:rFonts w:hint="eastAsia" w:ascii="宋体" w:hAnsi="宋体"/>
          <w:sz w:val="24"/>
        </w:rPr>
      </w:pPr>
      <w:bookmarkStart w:id="78" w:name="_Toc205886189"/>
      <w:bookmarkStart w:id="79" w:name="_Toc205885177"/>
      <w:r>
        <w:rPr>
          <w:rFonts w:ascii="宋体" w:hAnsi="宋体"/>
          <w:sz w:val="24"/>
        </w:rPr>
        <w:t>（四）预算外资金收入和其他收入预算按部门上报的预计数核定。</w:t>
      </w:r>
      <w:bookmarkEnd w:id="78"/>
      <w:bookmarkEnd w:id="79"/>
    </w:p>
    <w:p>
      <w:pPr>
        <w:spacing w:line="420" w:lineRule="atLeast"/>
        <w:ind w:firstLine="482" w:firstLineChars="200"/>
        <w:rPr>
          <w:rFonts w:hint="eastAsia" w:ascii="宋体" w:hAnsi="宋体"/>
          <w:sz w:val="24"/>
        </w:rPr>
      </w:pPr>
      <w:bookmarkStart w:id="80" w:name="_Toc205886190"/>
      <w:bookmarkStart w:id="81" w:name="_Toc205885178"/>
      <w:r>
        <w:rPr>
          <w:rFonts w:ascii="宋体" w:hAnsi="宋体"/>
          <w:b/>
          <w:sz w:val="24"/>
        </w:rPr>
        <w:t>第十四条</w:t>
      </w:r>
      <w:r>
        <w:rPr>
          <w:rFonts w:ascii="宋体" w:hAnsi="宋体"/>
          <w:sz w:val="24"/>
        </w:rPr>
        <w:t xml:space="preserve">  各部门应当严格执行年度预算，按照收支平衡、略有结余的原则，统筹安排各项支出，不得超预算或无预算安排支出。</w:t>
      </w:r>
      <w:bookmarkEnd w:id="80"/>
      <w:bookmarkEnd w:id="81"/>
    </w:p>
    <w:p>
      <w:pPr>
        <w:spacing w:line="420" w:lineRule="atLeast"/>
        <w:ind w:firstLine="482" w:firstLineChars="200"/>
        <w:rPr>
          <w:rFonts w:hint="eastAsia" w:ascii="宋体" w:hAnsi="宋体"/>
          <w:sz w:val="24"/>
        </w:rPr>
      </w:pPr>
      <w:bookmarkStart w:id="82" w:name="_Toc205885179"/>
      <w:bookmarkStart w:id="83" w:name="_Toc205886191"/>
      <w:r>
        <w:rPr>
          <w:rFonts w:ascii="宋体" w:hAnsi="宋体"/>
          <w:b/>
          <w:sz w:val="24"/>
        </w:rPr>
        <w:t>第十五条</w:t>
      </w:r>
      <w:r>
        <w:rPr>
          <w:rFonts w:ascii="宋体" w:hAnsi="宋体"/>
          <w:sz w:val="24"/>
        </w:rPr>
        <w:t xml:space="preserve">  各部门在预算执行过程中，原则上不调整财政预算拨款收入和从财政专户核拨的预算外资金收入。因国家政策、人员编制、工作任务等有重大调整，对预算执行影响较大，确需调整预算时，应以书面文件形式于每年9月底前报送国管局审核批准后进行调整。各部门非拨款收入部分的预算需要调整的，应报送国管局备案，并在年终决算中说明，国管局在决算批复时予以审核确认</w:t>
      </w:r>
      <w:bookmarkEnd w:id="82"/>
      <w:bookmarkEnd w:id="83"/>
      <w:r>
        <w:rPr>
          <w:rFonts w:hint="eastAsia" w:ascii="宋体" w:hAnsi="宋体"/>
          <w:sz w:val="24"/>
        </w:rPr>
        <w:t>。</w:t>
      </w:r>
    </w:p>
    <w:p>
      <w:pPr>
        <w:spacing w:before="203" w:beforeLines="50" w:after="203" w:afterLines="50" w:line="400" w:lineRule="atLeast"/>
        <w:jc w:val="center"/>
        <w:rPr>
          <w:rFonts w:eastAsia="黑体"/>
          <w:sz w:val="24"/>
        </w:rPr>
      </w:pPr>
      <w:bookmarkStart w:id="84" w:name="_Toc205885180"/>
      <w:bookmarkStart w:id="85" w:name="_Toc205886192"/>
      <w:r>
        <w:rPr>
          <w:rFonts w:eastAsia="黑体"/>
          <w:sz w:val="24"/>
        </w:rPr>
        <w:t>第四章  收入管理</w:t>
      </w:r>
      <w:bookmarkEnd w:id="84"/>
      <w:bookmarkEnd w:id="85"/>
    </w:p>
    <w:p>
      <w:pPr>
        <w:spacing w:line="400" w:lineRule="atLeast"/>
        <w:ind w:firstLine="482" w:firstLineChars="200"/>
        <w:rPr>
          <w:rFonts w:hint="eastAsia" w:ascii="宋体" w:hAnsi="宋体"/>
          <w:sz w:val="24"/>
        </w:rPr>
      </w:pPr>
      <w:bookmarkStart w:id="86" w:name="_Toc205885181"/>
      <w:bookmarkStart w:id="87" w:name="_Toc205886193"/>
      <w:r>
        <w:rPr>
          <w:rFonts w:ascii="宋体" w:hAnsi="宋体"/>
          <w:b/>
          <w:sz w:val="24"/>
        </w:rPr>
        <w:t>第十六条</w:t>
      </w:r>
      <w:r>
        <w:rPr>
          <w:rFonts w:ascii="宋体" w:hAnsi="宋体"/>
          <w:sz w:val="24"/>
        </w:rPr>
        <w:t xml:space="preserve">  收入是指各部门依法取得的非偿还性资金，包括财政预算拨款收入、预算外资金收入和其他收入。</w:t>
      </w:r>
      <w:bookmarkEnd w:id="86"/>
      <w:bookmarkEnd w:id="87"/>
    </w:p>
    <w:p>
      <w:pPr>
        <w:spacing w:line="400" w:lineRule="atLeast"/>
        <w:ind w:firstLine="482" w:firstLineChars="200"/>
        <w:rPr>
          <w:rFonts w:hint="eastAsia" w:ascii="宋体" w:hAnsi="宋体"/>
          <w:sz w:val="24"/>
        </w:rPr>
      </w:pPr>
      <w:bookmarkStart w:id="88" w:name="_Toc205886194"/>
      <w:bookmarkStart w:id="89" w:name="_Toc205885182"/>
      <w:r>
        <w:rPr>
          <w:rFonts w:ascii="宋体" w:hAnsi="宋体"/>
          <w:b/>
          <w:sz w:val="24"/>
        </w:rPr>
        <w:t>第十七条</w:t>
      </w:r>
      <w:r>
        <w:rPr>
          <w:rFonts w:ascii="宋体" w:hAnsi="宋体"/>
          <w:sz w:val="24"/>
        </w:rPr>
        <w:t xml:space="preserve">  财政预算拨款收入是指主管预算单位核拨的财政预算资金，是各部门主要经费来源。</w:t>
      </w:r>
      <w:bookmarkEnd w:id="88"/>
      <w:bookmarkEnd w:id="89"/>
      <w:bookmarkStart w:id="90" w:name="_Toc205885183"/>
      <w:bookmarkStart w:id="91" w:name="_Toc205886195"/>
    </w:p>
    <w:p>
      <w:pPr>
        <w:spacing w:line="400" w:lineRule="atLeast"/>
        <w:ind w:firstLine="480" w:firstLineChars="200"/>
        <w:rPr>
          <w:rFonts w:hint="eastAsia" w:ascii="宋体" w:hAnsi="宋体"/>
          <w:sz w:val="24"/>
        </w:rPr>
      </w:pPr>
      <w:r>
        <w:rPr>
          <w:rFonts w:ascii="宋体" w:hAnsi="宋体"/>
          <w:sz w:val="24"/>
        </w:rPr>
        <w:t>财政预算拨款可分为经常性经费拨款和专项经费拨款。</w:t>
      </w:r>
      <w:bookmarkEnd w:id="90"/>
      <w:bookmarkEnd w:id="91"/>
      <w:bookmarkStart w:id="92" w:name="_Toc205885184"/>
      <w:bookmarkStart w:id="93" w:name="_Toc205886196"/>
    </w:p>
    <w:p>
      <w:pPr>
        <w:spacing w:line="400" w:lineRule="atLeast"/>
        <w:ind w:firstLine="480" w:firstLineChars="200"/>
        <w:rPr>
          <w:rFonts w:hint="eastAsia" w:ascii="宋体" w:hAnsi="宋体"/>
          <w:sz w:val="24"/>
        </w:rPr>
      </w:pPr>
      <w:r>
        <w:rPr>
          <w:rFonts w:ascii="宋体" w:hAnsi="宋体"/>
          <w:sz w:val="24"/>
        </w:rPr>
        <w:t>经常性经费拨款是指为维持各部门正常运转和完成日常工作任务所需的经费拨款。</w:t>
      </w:r>
      <w:bookmarkEnd w:id="92"/>
      <w:bookmarkEnd w:id="93"/>
      <w:bookmarkStart w:id="94" w:name="_Toc205886197"/>
      <w:bookmarkStart w:id="95" w:name="_Toc205885185"/>
    </w:p>
    <w:p>
      <w:pPr>
        <w:spacing w:line="400" w:lineRule="atLeast"/>
        <w:ind w:firstLine="480" w:firstLineChars="200"/>
        <w:rPr>
          <w:rFonts w:hint="eastAsia" w:ascii="宋体" w:hAnsi="宋体"/>
          <w:sz w:val="24"/>
        </w:rPr>
      </w:pPr>
      <w:r>
        <w:rPr>
          <w:rFonts w:ascii="宋体" w:hAnsi="宋体"/>
          <w:sz w:val="24"/>
        </w:rPr>
        <w:t>专项经费拨款是指各部门为完成专项或特殊工作任务所需的经费拨款。</w:t>
      </w:r>
      <w:bookmarkEnd w:id="94"/>
      <w:bookmarkEnd w:id="95"/>
    </w:p>
    <w:p>
      <w:pPr>
        <w:spacing w:line="400" w:lineRule="atLeast"/>
        <w:ind w:firstLine="482" w:firstLineChars="200"/>
        <w:rPr>
          <w:rFonts w:hint="eastAsia" w:ascii="宋体" w:hAnsi="宋体"/>
          <w:sz w:val="24"/>
        </w:rPr>
      </w:pPr>
      <w:bookmarkStart w:id="96" w:name="_Toc205886198"/>
      <w:bookmarkStart w:id="97" w:name="_Toc205885186"/>
      <w:r>
        <w:rPr>
          <w:rFonts w:ascii="宋体" w:hAnsi="宋体"/>
          <w:b/>
          <w:sz w:val="24"/>
        </w:rPr>
        <w:t xml:space="preserve">第十八条  </w:t>
      </w:r>
      <w:r>
        <w:rPr>
          <w:rFonts w:ascii="宋体" w:hAnsi="宋体"/>
          <w:sz w:val="24"/>
        </w:rPr>
        <w:t>预算外资金收入是指按规定从财政预算外资金专户核拨给各部门的预算外资金，以及经财政部门核准留给部门按计划使用，不上缴财政预算外资金专户的少量预算外资金。</w:t>
      </w:r>
      <w:bookmarkEnd w:id="96"/>
      <w:bookmarkEnd w:id="97"/>
      <w:r>
        <w:rPr>
          <w:rFonts w:ascii="宋体" w:hAnsi="宋体"/>
          <w:sz w:val="24"/>
        </w:rPr>
        <w:t xml:space="preserve"> </w:t>
      </w:r>
    </w:p>
    <w:p>
      <w:pPr>
        <w:spacing w:line="400" w:lineRule="atLeast"/>
        <w:ind w:firstLine="482" w:firstLineChars="200"/>
        <w:rPr>
          <w:rFonts w:hint="eastAsia" w:ascii="宋体" w:hAnsi="宋体"/>
          <w:sz w:val="24"/>
        </w:rPr>
      </w:pPr>
      <w:bookmarkStart w:id="98" w:name="_Toc205885187"/>
      <w:bookmarkStart w:id="99" w:name="_Toc205886199"/>
      <w:r>
        <w:rPr>
          <w:rFonts w:ascii="宋体" w:hAnsi="宋体"/>
          <w:b/>
          <w:sz w:val="24"/>
        </w:rPr>
        <w:t>第十九条</w:t>
      </w:r>
      <w:r>
        <w:rPr>
          <w:rFonts w:ascii="宋体" w:hAnsi="宋体"/>
          <w:sz w:val="24"/>
        </w:rPr>
        <w:t xml:space="preserve">  预算外资金主要包括</w:t>
      </w:r>
      <w:bookmarkEnd w:id="98"/>
      <w:bookmarkEnd w:id="99"/>
      <w:r>
        <w:rPr>
          <w:rFonts w:hint="eastAsia" w:ascii="宋体" w:hAnsi="宋体"/>
          <w:sz w:val="24"/>
        </w:rPr>
        <w:t>：</w:t>
      </w:r>
    </w:p>
    <w:p>
      <w:pPr>
        <w:spacing w:line="400" w:lineRule="atLeast"/>
        <w:ind w:firstLine="480" w:firstLineChars="200"/>
        <w:rPr>
          <w:rFonts w:hint="eastAsia" w:ascii="宋体" w:hAnsi="宋体"/>
          <w:sz w:val="24"/>
        </w:rPr>
      </w:pPr>
      <w:bookmarkStart w:id="100" w:name="_Toc205885188"/>
      <w:bookmarkStart w:id="101" w:name="_Toc205886200"/>
      <w:r>
        <w:rPr>
          <w:rFonts w:ascii="宋体" w:hAnsi="宋体"/>
          <w:sz w:val="24"/>
        </w:rPr>
        <w:t>（一）各部门根据国家法律、法规和具有法律效力的规章收取、提取的各种行政事业性收费、基金（资金、附加收入）和凭借政府职权筹集的资金等</w:t>
      </w:r>
      <w:bookmarkEnd w:id="100"/>
      <w:bookmarkEnd w:id="101"/>
      <w:r>
        <w:rPr>
          <w:rFonts w:hint="eastAsia" w:ascii="宋体" w:hAnsi="宋体"/>
          <w:sz w:val="24"/>
        </w:rPr>
        <w:t>；</w:t>
      </w:r>
    </w:p>
    <w:p>
      <w:pPr>
        <w:spacing w:line="400" w:lineRule="atLeast"/>
        <w:ind w:firstLine="480" w:firstLineChars="200"/>
        <w:rPr>
          <w:rFonts w:hint="eastAsia" w:ascii="宋体" w:hAnsi="宋体"/>
          <w:sz w:val="24"/>
        </w:rPr>
      </w:pPr>
      <w:bookmarkStart w:id="102" w:name="_Toc205885189"/>
      <w:bookmarkStart w:id="103" w:name="_Toc205886201"/>
      <w:r>
        <w:rPr>
          <w:rFonts w:ascii="宋体" w:hAnsi="宋体"/>
          <w:sz w:val="24"/>
        </w:rPr>
        <w:t>（二）各部门按照经财政部和国家发展计划委员会共同审批的项目和标准，收取、提取的各种行政事业性收费收入；</w:t>
      </w:r>
      <w:bookmarkEnd w:id="102"/>
      <w:bookmarkEnd w:id="103"/>
      <w:bookmarkStart w:id="104" w:name="_Toc205886202"/>
      <w:bookmarkStart w:id="105" w:name="_Toc205885190"/>
    </w:p>
    <w:p>
      <w:pPr>
        <w:spacing w:line="400" w:lineRule="atLeast"/>
        <w:ind w:firstLine="480" w:firstLineChars="200"/>
        <w:rPr>
          <w:rFonts w:hint="eastAsia" w:ascii="宋体" w:hAnsi="宋体"/>
          <w:sz w:val="24"/>
        </w:rPr>
      </w:pPr>
      <w:r>
        <w:rPr>
          <w:rFonts w:ascii="宋体" w:hAnsi="宋体"/>
          <w:sz w:val="24"/>
        </w:rPr>
        <w:t>（三）各部门按照国务院或财政部审批的项目和标准，向企业、事业单位和个人征收、募集或以政府信誉建立的具有特定用途的各项基金（资金、附加收入）；</w:t>
      </w:r>
      <w:bookmarkEnd w:id="104"/>
      <w:bookmarkEnd w:id="105"/>
      <w:bookmarkStart w:id="106" w:name="_Toc205886203"/>
      <w:bookmarkStart w:id="107" w:name="_Toc205885191"/>
    </w:p>
    <w:p>
      <w:pPr>
        <w:spacing w:line="400" w:lineRule="atLeast"/>
        <w:ind w:firstLine="480" w:firstLineChars="200"/>
        <w:rPr>
          <w:rFonts w:hint="eastAsia" w:ascii="宋体" w:hAnsi="宋体"/>
          <w:sz w:val="24"/>
        </w:rPr>
      </w:pPr>
      <w:r>
        <w:rPr>
          <w:rFonts w:ascii="宋体" w:hAnsi="宋体"/>
          <w:sz w:val="24"/>
        </w:rPr>
        <w:t>（四）各部门按照国家规定从所属企事业单位和社会团体集中的管理费及其他资金；</w:t>
      </w:r>
      <w:bookmarkEnd w:id="106"/>
      <w:bookmarkEnd w:id="107"/>
      <w:r>
        <w:rPr>
          <w:rFonts w:ascii="宋体" w:hAnsi="宋体"/>
          <w:sz w:val="24"/>
        </w:rPr>
        <w:t xml:space="preserve"> </w:t>
      </w:r>
    </w:p>
    <w:p>
      <w:pPr>
        <w:spacing w:line="400" w:lineRule="atLeast"/>
        <w:ind w:firstLine="480" w:firstLineChars="200"/>
        <w:rPr>
          <w:rFonts w:hint="eastAsia" w:ascii="宋体" w:hAnsi="宋体"/>
          <w:sz w:val="24"/>
        </w:rPr>
      </w:pPr>
      <w:bookmarkStart w:id="108" w:name="_Toc205886204"/>
      <w:bookmarkStart w:id="109" w:name="_Toc205885192"/>
      <w:r>
        <w:rPr>
          <w:rFonts w:ascii="宋体" w:hAnsi="宋体"/>
          <w:sz w:val="24"/>
        </w:rPr>
        <w:t>（五）其他未纳入财政预算管理的财政性资金，主要包括各部门以政府名义获得的各种捐赠资金和派</w:t>
      </w:r>
      <w:r>
        <w:rPr>
          <w:rFonts w:hint="eastAsia" w:ascii="宋体" w:hAnsi="宋体"/>
          <w:sz w:val="24"/>
        </w:rPr>
        <w:t>驻</w:t>
      </w:r>
      <w:r>
        <w:rPr>
          <w:rFonts w:ascii="宋体" w:hAnsi="宋体"/>
          <w:sz w:val="24"/>
        </w:rPr>
        <w:t>境外机构的非经营收入、财政专户利息等。</w:t>
      </w:r>
    </w:p>
    <w:p>
      <w:pPr>
        <w:spacing w:line="400" w:lineRule="atLeast"/>
        <w:ind w:firstLine="480" w:firstLineChars="200"/>
        <w:rPr>
          <w:rFonts w:hint="eastAsia" w:ascii="宋体" w:hAnsi="宋体"/>
          <w:sz w:val="24"/>
        </w:rPr>
      </w:pPr>
      <w:r>
        <w:rPr>
          <w:rFonts w:ascii="宋体" w:hAnsi="宋体"/>
          <w:sz w:val="24"/>
        </w:rPr>
        <w:t>各部门必须合法取得预算外资金，并按国家有关规定进行管理。从财政预算外资金专户取得的预算外资金收入，是部门预算的重要组成部分，不是执收部门的自有资金，执收部门不得按比例提成、分配。</w:t>
      </w:r>
      <w:bookmarkEnd w:id="108"/>
      <w:bookmarkEnd w:id="109"/>
    </w:p>
    <w:p>
      <w:pPr>
        <w:spacing w:line="400" w:lineRule="atLeast"/>
        <w:ind w:firstLine="482" w:firstLineChars="200"/>
        <w:rPr>
          <w:rFonts w:hint="eastAsia" w:ascii="宋体" w:hAnsi="宋体"/>
          <w:sz w:val="24"/>
        </w:rPr>
      </w:pPr>
      <w:bookmarkStart w:id="110" w:name="_Toc205885193"/>
      <w:bookmarkStart w:id="111" w:name="_Toc205886205"/>
      <w:r>
        <w:rPr>
          <w:rFonts w:ascii="宋体" w:hAnsi="宋体"/>
          <w:b/>
          <w:sz w:val="24"/>
        </w:rPr>
        <w:t>第二十条</w:t>
      </w:r>
      <w:r>
        <w:rPr>
          <w:rFonts w:ascii="宋体" w:hAnsi="宋体"/>
          <w:sz w:val="24"/>
        </w:rPr>
        <w:t xml:space="preserve">  其他收入是指各部门取得的除财政预算拨款收入、预算外资金收入以外的其他各项合法收入。其他收入主要包括固定资产临时出租收入、固定资产有偿转让收入、固定资产报废残值收入、废旧物品变卖收入、财产物资损失赔偿收入、利息收入、劳务服务性收入、机关后勤单位上缴收入等。</w:t>
      </w:r>
      <w:bookmarkEnd w:id="110"/>
      <w:bookmarkEnd w:id="111"/>
      <w:r>
        <w:rPr>
          <w:rFonts w:ascii="宋体" w:hAnsi="宋体"/>
          <w:sz w:val="24"/>
        </w:rPr>
        <w:t xml:space="preserve"> </w:t>
      </w:r>
    </w:p>
    <w:p>
      <w:pPr>
        <w:spacing w:line="400" w:lineRule="atLeast"/>
        <w:ind w:firstLine="482" w:firstLineChars="200"/>
        <w:rPr>
          <w:rFonts w:hint="eastAsia" w:ascii="宋体" w:hAnsi="宋体"/>
          <w:sz w:val="24"/>
        </w:rPr>
      </w:pPr>
      <w:bookmarkStart w:id="112" w:name="_Toc205885194"/>
      <w:bookmarkStart w:id="113" w:name="_Toc205886206"/>
      <w:r>
        <w:rPr>
          <w:rFonts w:ascii="宋体" w:hAnsi="宋体"/>
          <w:b/>
          <w:sz w:val="24"/>
        </w:rPr>
        <w:t>第二十一条</w:t>
      </w:r>
      <w:r>
        <w:rPr>
          <w:rFonts w:ascii="宋体" w:hAnsi="宋体"/>
          <w:sz w:val="24"/>
        </w:rPr>
        <w:t xml:space="preserve">  各部门合理、合法组织的劳务服务性收入，主要包括机关组织的劳务收入、咨询收入、科技文化活动收入、非独立核算机关后勤单位的服务收入</w:t>
      </w:r>
      <w:r>
        <w:rPr>
          <w:rFonts w:hint="eastAsia" w:ascii="宋体" w:hAnsi="宋体"/>
          <w:sz w:val="24"/>
        </w:rPr>
        <w:t>、</w:t>
      </w:r>
      <w:r>
        <w:rPr>
          <w:rFonts w:ascii="宋体" w:hAnsi="宋体"/>
          <w:sz w:val="24"/>
        </w:rPr>
        <w:t>书刊发行收入等。</w:t>
      </w:r>
    </w:p>
    <w:p>
      <w:pPr>
        <w:spacing w:line="400" w:lineRule="atLeast"/>
        <w:ind w:firstLine="480" w:firstLineChars="200"/>
        <w:rPr>
          <w:rFonts w:hint="eastAsia" w:ascii="宋体" w:hAnsi="宋体"/>
          <w:sz w:val="24"/>
        </w:rPr>
      </w:pPr>
      <w:r>
        <w:rPr>
          <w:rFonts w:ascii="宋体" w:hAnsi="宋体"/>
          <w:sz w:val="24"/>
        </w:rPr>
        <w:t>各部门在合理、合法组织劳务服务性收入时，应注重经济效益，引入激励机制，可采取按收入的</w:t>
      </w:r>
      <w:r>
        <w:rPr>
          <w:rFonts w:hint="eastAsia" w:ascii="宋体" w:hAnsi="宋体"/>
          <w:sz w:val="24"/>
        </w:rPr>
        <w:t>一</w:t>
      </w:r>
      <w:r>
        <w:rPr>
          <w:rFonts w:ascii="宋体" w:hAnsi="宋体"/>
          <w:sz w:val="24"/>
        </w:rPr>
        <w:t>定比例提成的办法，对参与组织收入的单位或个人进行适当劳务补助，提成比例不得超过该项收入总额的10</w:t>
      </w:r>
      <w:r>
        <w:rPr>
          <w:rFonts w:hint="eastAsia" w:ascii="宋体" w:hAnsi="宋体"/>
          <w:sz w:val="24"/>
        </w:rPr>
        <w:t>%</w:t>
      </w:r>
      <w:r>
        <w:rPr>
          <w:rFonts w:ascii="宋体" w:hAnsi="宋体"/>
          <w:sz w:val="24"/>
        </w:rPr>
        <w:t>，具体提成比例、分配办法，由部门根据实际情况确定后报国管局备案。</w:t>
      </w:r>
      <w:bookmarkEnd w:id="112"/>
      <w:bookmarkEnd w:id="113"/>
      <w:r>
        <w:rPr>
          <w:rFonts w:ascii="宋体" w:hAnsi="宋体"/>
          <w:sz w:val="24"/>
        </w:rPr>
        <w:t xml:space="preserve"> </w:t>
      </w:r>
    </w:p>
    <w:p>
      <w:pPr>
        <w:spacing w:line="400" w:lineRule="atLeast"/>
        <w:ind w:firstLine="482" w:firstLineChars="200"/>
        <w:rPr>
          <w:rFonts w:ascii="宋体" w:hAnsi="宋体"/>
          <w:sz w:val="24"/>
        </w:rPr>
      </w:pPr>
      <w:bookmarkStart w:id="114" w:name="_Toc205885195"/>
      <w:bookmarkStart w:id="115" w:name="_Toc205886207"/>
      <w:r>
        <w:rPr>
          <w:rFonts w:ascii="宋体" w:hAnsi="宋体"/>
          <w:b/>
          <w:sz w:val="24"/>
        </w:rPr>
        <w:t>第二十二条</w:t>
      </w:r>
      <w:r>
        <w:rPr>
          <w:rFonts w:ascii="宋体" w:hAnsi="宋体"/>
          <w:sz w:val="24"/>
        </w:rPr>
        <w:t xml:space="preserve">  各部门取得的预算外资金收入</w:t>
      </w:r>
      <w:r>
        <w:rPr>
          <w:rFonts w:hint="eastAsia" w:ascii="宋体" w:hAnsi="宋体"/>
          <w:sz w:val="24"/>
        </w:rPr>
        <w:t>、</w:t>
      </w:r>
      <w:r>
        <w:rPr>
          <w:rFonts w:ascii="宋体" w:hAnsi="宋体"/>
          <w:sz w:val="24"/>
        </w:rPr>
        <w:t>其他收入，应当纳入单位预算进行统一管理，不得分散于各职能部门管理。</w:t>
      </w:r>
      <w:bookmarkEnd w:id="114"/>
      <w:bookmarkEnd w:id="115"/>
    </w:p>
    <w:p>
      <w:pPr>
        <w:spacing w:before="203" w:beforeLines="50" w:after="203" w:afterLines="50" w:line="400" w:lineRule="atLeast"/>
        <w:jc w:val="center"/>
        <w:rPr>
          <w:rFonts w:eastAsia="黑体"/>
          <w:sz w:val="24"/>
        </w:rPr>
      </w:pPr>
      <w:bookmarkStart w:id="116" w:name="_Toc205886208"/>
      <w:bookmarkStart w:id="117" w:name="_Toc205885196"/>
      <w:r>
        <w:rPr>
          <w:rFonts w:eastAsia="黑体"/>
          <w:sz w:val="24"/>
        </w:rPr>
        <w:t>第五章  支出管理</w:t>
      </w:r>
      <w:bookmarkEnd w:id="116"/>
      <w:bookmarkEnd w:id="117"/>
    </w:p>
    <w:p>
      <w:pPr>
        <w:spacing w:line="400" w:lineRule="atLeast"/>
        <w:ind w:firstLine="482" w:firstLineChars="200"/>
        <w:rPr>
          <w:rFonts w:hint="eastAsia" w:ascii="宋体" w:hAnsi="宋体"/>
          <w:sz w:val="24"/>
        </w:rPr>
      </w:pPr>
      <w:bookmarkStart w:id="118" w:name="_Toc205886209"/>
      <w:bookmarkStart w:id="119" w:name="_Toc205885197"/>
      <w:r>
        <w:rPr>
          <w:rFonts w:ascii="宋体" w:hAnsi="宋体"/>
          <w:b/>
          <w:sz w:val="24"/>
        </w:rPr>
        <w:t>第二十三条</w:t>
      </w:r>
      <w:r>
        <w:rPr>
          <w:rFonts w:ascii="宋体" w:hAnsi="宋体"/>
          <w:sz w:val="24"/>
        </w:rPr>
        <w:t xml:space="preserve">  支出是各部门开展业务活动所发生的资金耗费。</w:t>
      </w:r>
    </w:p>
    <w:p>
      <w:pPr>
        <w:spacing w:line="400" w:lineRule="atLeast"/>
        <w:ind w:firstLine="480" w:firstLineChars="200"/>
        <w:rPr>
          <w:rFonts w:hint="eastAsia" w:ascii="宋体" w:hAnsi="宋体"/>
          <w:sz w:val="24"/>
        </w:rPr>
      </w:pPr>
      <w:r>
        <w:rPr>
          <w:rFonts w:ascii="宋体" w:hAnsi="宋体"/>
          <w:sz w:val="24"/>
        </w:rPr>
        <w:t>各部门的经费支出包括经常性经费支出、专项经费支出和自筹基本建设支出三部分</w:t>
      </w:r>
      <w:bookmarkEnd w:id="118"/>
      <w:bookmarkEnd w:id="119"/>
      <w:r>
        <w:rPr>
          <w:rFonts w:ascii="宋体" w:hAnsi="宋体"/>
          <w:sz w:val="24"/>
        </w:rPr>
        <w:t>。</w:t>
      </w:r>
      <w:bookmarkStart w:id="120" w:name="_Toc205885198"/>
      <w:bookmarkStart w:id="121" w:name="_Toc205886210"/>
    </w:p>
    <w:p>
      <w:pPr>
        <w:spacing w:line="400" w:lineRule="atLeast"/>
        <w:ind w:firstLine="482" w:firstLineChars="200"/>
        <w:rPr>
          <w:rFonts w:hint="eastAsia" w:ascii="宋体" w:hAnsi="宋体"/>
          <w:sz w:val="24"/>
        </w:rPr>
      </w:pPr>
      <w:r>
        <w:rPr>
          <w:rFonts w:ascii="宋体" w:hAnsi="宋体"/>
          <w:b/>
          <w:sz w:val="24"/>
        </w:rPr>
        <w:t>第二十四条</w:t>
      </w:r>
      <w:r>
        <w:rPr>
          <w:rFonts w:ascii="宋体" w:hAnsi="宋体"/>
          <w:sz w:val="24"/>
        </w:rPr>
        <w:t xml:space="preserve">  经常性经费支出是指各部门为维持正常运转和完成日常工作任务所发生的资金耗费，包括人员经费支出和公用经费支出。</w:t>
      </w:r>
      <w:bookmarkEnd w:id="120"/>
      <w:bookmarkEnd w:id="121"/>
    </w:p>
    <w:p>
      <w:pPr>
        <w:spacing w:line="400" w:lineRule="atLeast"/>
        <w:ind w:firstLine="482" w:firstLineChars="200"/>
        <w:rPr>
          <w:rFonts w:hint="eastAsia" w:ascii="宋体" w:hAnsi="宋体"/>
          <w:sz w:val="24"/>
        </w:rPr>
      </w:pPr>
      <w:bookmarkStart w:id="122" w:name="_Toc205886211"/>
      <w:bookmarkStart w:id="123" w:name="_Toc205885199"/>
      <w:r>
        <w:rPr>
          <w:rFonts w:ascii="宋体" w:hAnsi="宋体"/>
          <w:b/>
          <w:sz w:val="24"/>
        </w:rPr>
        <w:t>第二十五条</w:t>
      </w:r>
      <w:r>
        <w:rPr>
          <w:rFonts w:ascii="宋体" w:hAnsi="宋体"/>
          <w:sz w:val="24"/>
        </w:rPr>
        <w:t xml:space="preserve">  人员经费支出是指直接用于公务员个人待遇部分的支出，包括工资、补助工资、其他工资、职工福利费、社会保障费。</w:t>
      </w:r>
      <w:bookmarkEnd w:id="122"/>
      <w:bookmarkEnd w:id="123"/>
    </w:p>
    <w:p>
      <w:pPr>
        <w:spacing w:line="400" w:lineRule="atLeast"/>
        <w:ind w:firstLine="482" w:firstLineChars="200"/>
        <w:rPr>
          <w:rFonts w:hint="eastAsia" w:ascii="宋体" w:hAnsi="宋体"/>
          <w:sz w:val="24"/>
        </w:rPr>
      </w:pPr>
      <w:bookmarkStart w:id="124" w:name="_Toc205886212"/>
      <w:bookmarkStart w:id="125" w:name="_Toc205885200"/>
      <w:r>
        <w:rPr>
          <w:rFonts w:ascii="宋体" w:hAnsi="宋体"/>
          <w:b/>
          <w:sz w:val="24"/>
        </w:rPr>
        <w:t>第二十六条</w:t>
      </w:r>
      <w:r>
        <w:rPr>
          <w:rFonts w:ascii="宋体" w:hAnsi="宋体"/>
          <w:sz w:val="24"/>
        </w:rPr>
        <w:t xml:space="preserve">  各部门应加强人员经费支出的管理，严格按核定的人员编制控制经费开支人数。</w:t>
      </w:r>
    </w:p>
    <w:p>
      <w:pPr>
        <w:spacing w:line="400" w:lineRule="atLeast"/>
        <w:ind w:firstLine="480" w:firstLineChars="200"/>
        <w:rPr>
          <w:rFonts w:hint="eastAsia" w:ascii="宋体" w:hAnsi="宋体"/>
          <w:sz w:val="24"/>
        </w:rPr>
      </w:pPr>
      <w:r>
        <w:rPr>
          <w:rFonts w:hint="eastAsia" w:ascii="宋体" w:hAnsi="宋体"/>
          <w:sz w:val="24"/>
        </w:rPr>
        <w:t>用于职工待遇方面的支出，必须依据国家规定执行，</w:t>
      </w:r>
      <w:r>
        <w:rPr>
          <w:rFonts w:ascii="宋体" w:hAnsi="宋体"/>
          <w:sz w:val="24"/>
        </w:rPr>
        <w:t>不得随意扩大开支范围或提高开支标准。</w:t>
      </w:r>
      <w:bookmarkEnd w:id="124"/>
      <w:bookmarkEnd w:id="125"/>
    </w:p>
    <w:p>
      <w:pPr>
        <w:spacing w:line="400" w:lineRule="atLeast"/>
        <w:ind w:firstLine="482" w:firstLineChars="200"/>
        <w:rPr>
          <w:rFonts w:hint="eastAsia" w:ascii="宋体" w:hAnsi="宋体"/>
          <w:sz w:val="24"/>
        </w:rPr>
      </w:pPr>
      <w:bookmarkStart w:id="126" w:name="_Toc205885201"/>
      <w:bookmarkStart w:id="127" w:name="_Toc205886213"/>
      <w:r>
        <w:rPr>
          <w:rFonts w:ascii="宋体" w:hAnsi="宋体"/>
          <w:b/>
          <w:sz w:val="24"/>
        </w:rPr>
        <w:t>第二十七条</w:t>
      </w:r>
      <w:r>
        <w:rPr>
          <w:rFonts w:ascii="宋体" w:hAnsi="宋体"/>
          <w:sz w:val="24"/>
        </w:rPr>
        <w:t xml:space="preserve">  公用经费支出是指各部门为完成工作任务，用于设备和设施购置、维持、消耗，以及直接用于开展业务活动所发生的资金消耗，包括公务费、设备购置费、修缮费、业务费、业务招待费、其他费用。</w:t>
      </w:r>
      <w:bookmarkEnd w:id="126"/>
      <w:bookmarkEnd w:id="127"/>
    </w:p>
    <w:p>
      <w:pPr>
        <w:spacing w:line="400" w:lineRule="atLeast"/>
        <w:ind w:firstLine="482" w:firstLineChars="200"/>
        <w:rPr>
          <w:rFonts w:hint="eastAsia" w:ascii="宋体" w:hAnsi="宋体"/>
          <w:sz w:val="24"/>
        </w:rPr>
      </w:pPr>
      <w:bookmarkStart w:id="128" w:name="_Toc205886214"/>
      <w:bookmarkStart w:id="129" w:name="_Toc205885202"/>
      <w:r>
        <w:rPr>
          <w:rFonts w:ascii="宋体" w:hAnsi="宋体"/>
          <w:b/>
          <w:sz w:val="24"/>
        </w:rPr>
        <w:t>第二十八条</w:t>
      </w:r>
      <w:r>
        <w:rPr>
          <w:rFonts w:ascii="宋体" w:hAnsi="宋体"/>
          <w:sz w:val="24"/>
        </w:rPr>
        <w:t xml:space="preserve">  各部门应按国家有关规定，加强公用经费支出的管理；国家没有明确规定的，各部门可根据实际情况</w:t>
      </w:r>
      <w:r>
        <w:rPr>
          <w:rFonts w:hint="eastAsia" w:ascii="宋体" w:hAnsi="宋体"/>
          <w:sz w:val="24"/>
        </w:rPr>
        <w:t>，</w:t>
      </w:r>
      <w:r>
        <w:rPr>
          <w:rFonts w:ascii="宋体" w:hAnsi="宋体"/>
          <w:sz w:val="24"/>
        </w:rPr>
        <w:t>在既能保证工作任务完成、又能节约开支的前提下，分别采取定额包干、超支不补或规定支出限额、超支自负等办法，努力减少公用经费支出中的浪费现象，加强公用经费支出的管理。</w:t>
      </w:r>
      <w:bookmarkEnd w:id="128"/>
      <w:bookmarkEnd w:id="129"/>
    </w:p>
    <w:p>
      <w:pPr>
        <w:spacing w:line="400" w:lineRule="atLeast"/>
        <w:ind w:firstLine="482" w:firstLineChars="200"/>
        <w:rPr>
          <w:rFonts w:hint="eastAsia" w:ascii="宋体" w:hAnsi="宋体"/>
          <w:sz w:val="24"/>
        </w:rPr>
      </w:pPr>
      <w:bookmarkStart w:id="130" w:name="_Toc205886215"/>
      <w:bookmarkStart w:id="131" w:name="_Toc205885203"/>
      <w:r>
        <w:rPr>
          <w:rFonts w:ascii="宋体" w:hAnsi="宋体"/>
          <w:b/>
          <w:sz w:val="24"/>
        </w:rPr>
        <w:t>第二十九条</w:t>
      </w:r>
      <w:r>
        <w:rPr>
          <w:rFonts w:ascii="宋体" w:hAnsi="宋体"/>
          <w:sz w:val="24"/>
        </w:rPr>
        <w:t xml:space="preserve">  各部门要根据有关规定，明确各款经费的开支界限，按规定的开支范围和开支内容列支，努力做到互不挤占。对垫付的款项，要制定相应的回收办法，对合署办公垫支的款项，要制定合理的分摊办法，收回的垫付款项冲减相应支出。</w:t>
      </w:r>
      <w:bookmarkEnd w:id="130"/>
      <w:bookmarkEnd w:id="131"/>
      <w:r>
        <w:rPr>
          <w:rFonts w:ascii="宋体" w:hAnsi="宋体"/>
          <w:sz w:val="24"/>
        </w:rPr>
        <w:t xml:space="preserve"> </w:t>
      </w:r>
    </w:p>
    <w:p>
      <w:pPr>
        <w:spacing w:line="400" w:lineRule="atLeast"/>
        <w:ind w:firstLine="482" w:firstLineChars="200"/>
        <w:rPr>
          <w:rFonts w:hint="eastAsia" w:ascii="宋体" w:hAnsi="宋体"/>
          <w:sz w:val="24"/>
        </w:rPr>
      </w:pPr>
      <w:bookmarkStart w:id="132" w:name="_Toc205885204"/>
      <w:bookmarkStart w:id="133" w:name="_Toc205886216"/>
      <w:r>
        <w:rPr>
          <w:rFonts w:ascii="宋体" w:hAnsi="宋体"/>
          <w:b/>
          <w:sz w:val="24"/>
        </w:rPr>
        <w:t>第三十条</w:t>
      </w:r>
      <w:r>
        <w:rPr>
          <w:rFonts w:ascii="宋体" w:hAnsi="宋体"/>
          <w:sz w:val="24"/>
        </w:rPr>
        <w:t>　各部门开展业务活动所需的劳务和商品，要遵照国家有关</w:t>
      </w:r>
      <w:r>
        <w:rPr>
          <w:rFonts w:hint="eastAsia" w:ascii="宋体" w:hAnsi="宋体"/>
          <w:sz w:val="24"/>
        </w:rPr>
        <w:t>“</w:t>
      </w:r>
      <w:r>
        <w:rPr>
          <w:rFonts w:ascii="宋体" w:hAnsi="宋体"/>
          <w:sz w:val="24"/>
        </w:rPr>
        <w:t>政府采购</w:t>
      </w:r>
      <w:r>
        <w:rPr>
          <w:rFonts w:hint="eastAsia" w:ascii="宋体" w:hAnsi="宋体"/>
          <w:sz w:val="24"/>
        </w:rPr>
        <w:t>”</w:t>
      </w:r>
      <w:r>
        <w:rPr>
          <w:rFonts w:ascii="宋体" w:hAnsi="宋体"/>
          <w:sz w:val="24"/>
        </w:rPr>
        <w:t>规定，由有关采购部门按照集中统一、公开招标、公开竞价的方式进行采购。</w:t>
      </w:r>
      <w:bookmarkEnd w:id="132"/>
      <w:bookmarkEnd w:id="133"/>
    </w:p>
    <w:p>
      <w:pPr>
        <w:spacing w:line="400" w:lineRule="atLeast"/>
        <w:ind w:firstLine="482" w:firstLineChars="200"/>
        <w:rPr>
          <w:rFonts w:hint="eastAsia" w:ascii="宋体" w:hAnsi="宋体"/>
          <w:sz w:val="24"/>
        </w:rPr>
      </w:pPr>
      <w:bookmarkStart w:id="134" w:name="_Toc205886217"/>
      <w:bookmarkStart w:id="135" w:name="_Toc205885205"/>
      <w:r>
        <w:rPr>
          <w:rFonts w:ascii="宋体" w:hAnsi="宋体"/>
          <w:b/>
          <w:sz w:val="24"/>
        </w:rPr>
        <w:t>第三十一条</w:t>
      </w:r>
      <w:r>
        <w:rPr>
          <w:rFonts w:ascii="宋体" w:hAnsi="宋体"/>
          <w:sz w:val="24"/>
        </w:rPr>
        <w:t xml:space="preserve">  各部门要严格控制会议数量，对批准召开的会议，要严格控制会议人数和会议天数，逐步实行会议定点管理。会议的各项支出，应按规定的开支标准和范围列支。</w:t>
      </w:r>
      <w:bookmarkEnd w:id="134"/>
      <w:bookmarkEnd w:id="135"/>
    </w:p>
    <w:p>
      <w:pPr>
        <w:spacing w:line="400" w:lineRule="atLeast"/>
        <w:ind w:firstLine="482" w:firstLineChars="200"/>
        <w:rPr>
          <w:rFonts w:hint="eastAsia" w:ascii="宋体" w:hAnsi="宋体"/>
          <w:sz w:val="24"/>
        </w:rPr>
      </w:pPr>
      <w:bookmarkStart w:id="136" w:name="_Toc205885206"/>
      <w:bookmarkStart w:id="137" w:name="_Toc205886218"/>
      <w:r>
        <w:rPr>
          <w:rFonts w:ascii="宋体" w:hAnsi="宋体"/>
          <w:b/>
          <w:sz w:val="24"/>
        </w:rPr>
        <w:t>第三十二条</w:t>
      </w:r>
      <w:r>
        <w:rPr>
          <w:rFonts w:ascii="宋体" w:hAnsi="宋体"/>
          <w:sz w:val="24"/>
        </w:rPr>
        <w:t xml:space="preserve">  各部门要充分提高现有办公设备的利用率，按照合理、节约、高效的原则，根据财力可能，统筹安排好必需办公设备的购置。</w:t>
      </w:r>
      <w:bookmarkEnd w:id="136"/>
      <w:bookmarkEnd w:id="137"/>
      <w:r>
        <w:rPr>
          <w:rFonts w:ascii="宋体" w:hAnsi="宋体"/>
          <w:sz w:val="24"/>
        </w:rPr>
        <w:t xml:space="preserve"> </w:t>
      </w:r>
    </w:p>
    <w:p>
      <w:pPr>
        <w:spacing w:line="400" w:lineRule="atLeast"/>
        <w:ind w:firstLine="482" w:firstLineChars="200"/>
        <w:rPr>
          <w:rFonts w:hint="eastAsia" w:ascii="宋体" w:hAnsi="宋体"/>
          <w:sz w:val="24"/>
        </w:rPr>
      </w:pPr>
      <w:bookmarkStart w:id="138" w:name="_Toc205885207"/>
      <w:bookmarkStart w:id="139" w:name="_Toc205886219"/>
      <w:r>
        <w:rPr>
          <w:rFonts w:ascii="宋体" w:hAnsi="宋体"/>
          <w:b/>
          <w:sz w:val="24"/>
        </w:rPr>
        <w:t xml:space="preserve">第三十三条  </w:t>
      </w:r>
      <w:r>
        <w:rPr>
          <w:rFonts w:ascii="宋体" w:hAnsi="宋体"/>
          <w:sz w:val="24"/>
        </w:rPr>
        <w:t>专项经费支出是指各部门为完成专项或特殊工作任务所发生的资金耗费。</w:t>
      </w:r>
    </w:p>
    <w:p>
      <w:pPr>
        <w:spacing w:line="400" w:lineRule="atLeast"/>
        <w:ind w:firstLine="480" w:firstLineChars="200"/>
        <w:rPr>
          <w:rFonts w:hint="eastAsia" w:ascii="宋体" w:hAnsi="宋体"/>
          <w:sz w:val="24"/>
        </w:rPr>
      </w:pPr>
      <w:r>
        <w:rPr>
          <w:rFonts w:ascii="宋体" w:hAnsi="宋体"/>
          <w:sz w:val="24"/>
        </w:rPr>
        <w:t>专项经费支出应当严格按照批准用途和数额安排使用，不得任意改变其用途。项目完成后，要向主管预算单位报送专项经费支出决算和专项经费使用效果的报告。</w:t>
      </w:r>
      <w:bookmarkEnd w:id="138"/>
      <w:bookmarkEnd w:id="139"/>
    </w:p>
    <w:p>
      <w:pPr>
        <w:spacing w:line="400" w:lineRule="atLeast"/>
        <w:ind w:firstLine="482" w:firstLineChars="200"/>
        <w:rPr>
          <w:rFonts w:hint="eastAsia" w:ascii="宋体" w:hAnsi="宋体"/>
          <w:sz w:val="24"/>
        </w:rPr>
      </w:pPr>
      <w:bookmarkStart w:id="140" w:name="_Toc205885208"/>
      <w:bookmarkStart w:id="141" w:name="_Toc205886220"/>
      <w:r>
        <w:rPr>
          <w:rFonts w:ascii="宋体" w:hAnsi="宋体"/>
          <w:b/>
          <w:sz w:val="24"/>
        </w:rPr>
        <w:t xml:space="preserve">第三十四条  </w:t>
      </w:r>
      <w:r>
        <w:rPr>
          <w:rFonts w:ascii="宋体" w:hAnsi="宋体"/>
          <w:sz w:val="24"/>
        </w:rPr>
        <w:t>自筹基本建设支出是指各部门经批准用财政预算拨款以外的资金安排的基本建设支出。各部门的预算外资金收入和其他收入在保证机关正常开支所需后，确有余力需要用于基本建设的，应当报经国管局审批后，列自筹基本建设支出，其结转资金纳入基本建设财务统一管理。</w:t>
      </w:r>
      <w:bookmarkEnd w:id="140"/>
      <w:bookmarkEnd w:id="141"/>
      <w:r>
        <w:rPr>
          <w:rFonts w:ascii="宋体" w:hAnsi="宋体"/>
          <w:sz w:val="24"/>
        </w:rPr>
        <w:t xml:space="preserve"> </w:t>
      </w:r>
    </w:p>
    <w:p>
      <w:pPr>
        <w:spacing w:line="400" w:lineRule="atLeast"/>
        <w:ind w:firstLine="482" w:firstLineChars="200"/>
        <w:rPr>
          <w:rFonts w:hint="eastAsia" w:ascii="宋体" w:hAnsi="宋体"/>
          <w:sz w:val="24"/>
        </w:rPr>
      </w:pPr>
      <w:bookmarkStart w:id="142" w:name="_Toc205886221"/>
      <w:bookmarkStart w:id="143" w:name="_Toc205885209"/>
      <w:r>
        <w:rPr>
          <w:rFonts w:ascii="宋体" w:hAnsi="宋体"/>
          <w:b/>
          <w:sz w:val="24"/>
        </w:rPr>
        <w:t>第三十五条</w:t>
      </w:r>
      <w:r>
        <w:rPr>
          <w:rFonts w:ascii="宋体" w:hAnsi="宋体"/>
          <w:sz w:val="24"/>
        </w:rPr>
        <w:t xml:space="preserve">  各部门应按照有关规定，建立、健全支出的审批、报销制度，防止多头审批和无计划开支、重大支出项目，应科学论证后报部门领导集体研究决定。</w:t>
      </w:r>
      <w:bookmarkEnd w:id="142"/>
      <w:bookmarkEnd w:id="143"/>
    </w:p>
    <w:p>
      <w:pPr>
        <w:spacing w:line="400" w:lineRule="atLeast"/>
        <w:ind w:firstLine="482" w:firstLineChars="200"/>
        <w:rPr>
          <w:rFonts w:hint="eastAsia" w:ascii="宋体" w:hAnsi="宋体"/>
          <w:sz w:val="24"/>
        </w:rPr>
      </w:pPr>
      <w:bookmarkStart w:id="144" w:name="_Toc205886222"/>
      <w:bookmarkStart w:id="145" w:name="_Toc205885210"/>
      <w:r>
        <w:rPr>
          <w:rFonts w:ascii="宋体" w:hAnsi="宋体"/>
          <w:b/>
          <w:sz w:val="24"/>
        </w:rPr>
        <w:t>第三十六条</w:t>
      </w:r>
      <w:r>
        <w:rPr>
          <w:rFonts w:ascii="宋体" w:hAnsi="宋体"/>
          <w:sz w:val="24"/>
        </w:rPr>
        <w:t xml:space="preserve">  各部门年度各项收入与支出相抵后的结余，年终结转下年度继续使用，不进行分配，其中专项经费结余，需报主管预算单位批准后结转下年度继续使用。</w:t>
      </w:r>
      <w:bookmarkEnd w:id="144"/>
      <w:bookmarkEnd w:id="145"/>
    </w:p>
    <w:p>
      <w:pPr>
        <w:spacing w:line="400" w:lineRule="atLeast"/>
        <w:ind w:firstLine="482" w:firstLineChars="200"/>
        <w:rPr>
          <w:rFonts w:ascii="宋体" w:hAnsi="宋体"/>
          <w:sz w:val="24"/>
        </w:rPr>
      </w:pPr>
      <w:bookmarkStart w:id="146" w:name="_Toc205885211"/>
      <w:bookmarkStart w:id="147" w:name="_Toc205886223"/>
      <w:r>
        <w:rPr>
          <w:rFonts w:ascii="宋体" w:hAnsi="宋体"/>
          <w:b/>
          <w:sz w:val="24"/>
        </w:rPr>
        <w:t>第三十七条</w:t>
      </w:r>
      <w:r>
        <w:rPr>
          <w:rFonts w:ascii="宋体" w:hAnsi="宋体"/>
          <w:sz w:val="24"/>
        </w:rPr>
        <w:t xml:space="preserve">  各部门收回本年度已列为经费支出的款项，冲减当年的经费支出；收回以前年度已经列为经费支出的款项，增加结余，不得冲减当年经费支出。</w:t>
      </w:r>
      <w:bookmarkEnd w:id="146"/>
      <w:bookmarkEnd w:id="147"/>
    </w:p>
    <w:p>
      <w:pPr>
        <w:spacing w:before="203" w:beforeLines="50" w:after="203" w:afterLines="50" w:line="400" w:lineRule="atLeast"/>
        <w:jc w:val="center"/>
        <w:rPr>
          <w:rFonts w:eastAsia="黑体"/>
          <w:sz w:val="24"/>
        </w:rPr>
      </w:pPr>
      <w:bookmarkStart w:id="148" w:name="_Toc205886224"/>
      <w:bookmarkStart w:id="149" w:name="_Toc205885212"/>
      <w:r>
        <w:rPr>
          <w:rFonts w:eastAsia="黑体"/>
          <w:sz w:val="24"/>
        </w:rPr>
        <w:t>第六章  资产管理</w:t>
      </w:r>
      <w:bookmarkEnd w:id="148"/>
      <w:bookmarkEnd w:id="149"/>
    </w:p>
    <w:p>
      <w:pPr>
        <w:spacing w:line="400" w:lineRule="atLeast"/>
        <w:ind w:firstLine="482" w:firstLineChars="200"/>
        <w:rPr>
          <w:rFonts w:hint="eastAsia" w:ascii="宋体" w:hAnsi="宋体"/>
          <w:sz w:val="24"/>
        </w:rPr>
      </w:pPr>
      <w:bookmarkStart w:id="150" w:name="_Toc205885213"/>
      <w:bookmarkStart w:id="151" w:name="_Toc205886225"/>
      <w:r>
        <w:rPr>
          <w:rFonts w:ascii="宋体" w:hAnsi="宋体"/>
          <w:b/>
          <w:sz w:val="24"/>
        </w:rPr>
        <w:t>第三十八条</w:t>
      </w:r>
      <w:r>
        <w:rPr>
          <w:rFonts w:ascii="宋体" w:hAnsi="宋体"/>
          <w:sz w:val="24"/>
        </w:rPr>
        <w:t xml:space="preserve">  资产是指各部门占有或者使用的、并能以货币计量的经济资源。资产分为流动资产和固定资产。</w:t>
      </w:r>
      <w:bookmarkEnd w:id="150"/>
      <w:bookmarkEnd w:id="151"/>
    </w:p>
    <w:p>
      <w:pPr>
        <w:spacing w:line="400" w:lineRule="atLeast"/>
        <w:ind w:firstLine="482" w:firstLineChars="200"/>
        <w:rPr>
          <w:rFonts w:hint="eastAsia" w:ascii="宋体" w:hAnsi="宋体"/>
          <w:sz w:val="24"/>
        </w:rPr>
      </w:pPr>
      <w:bookmarkStart w:id="152" w:name="_Toc205886226"/>
      <w:bookmarkStart w:id="153" w:name="_Toc205885214"/>
      <w:r>
        <w:rPr>
          <w:rFonts w:ascii="宋体" w:hAnsi="宋体"/>
          <w:b/>
          <w:sz w:val="24"/>
        </w:rPr>
        <w:t>第三十九条</w:t>
      </w:r>
      <w:r>
        <w:rPr>
          <w:rFonts w:ascii="宋体" w:hAnsi="宋体"/>
          <w:sz w:val="24"/>
        </w:rPr>
        <w:t xml:space="preserve">  流动资产是指可以在一年内变现或者耗用的资产，包括现金、银行存款、库存材料</w:t>
      </w:r>
      <w:r>
        <w:rPr>
          <w:rFonts w:hint="eastAsia" w:ascii="宋体" w:hAnsi="宋体"/>
          <w:sz w:val="24"/>
        </w:rPr>
        <w:t>、</w:t>
      </w:r>
      <w:r>
        <w:rPr>
          <w:rFonts w:ascii="宋体" w:hAnsi="宋体"/>
          <w:sz w:val="24"/>
        </w:rPr>
        <w:t>暂付款。各部门购买的有价证券视同流动资产。</w:t>
      </w:r>
      <w:bookmarkEnd w:id="152"/>
      <w:bookmarkEnd w:id="153"/>
    </w:p>
    <w:p>
      <w:pPr>
        <w:spacing w:line="400" w:lineRule="atLeast"/>
        <w:ind w:firstLine="482" w:firstLineChars="200"/>
        <w:rPr>
          <w:rFonts w:hint="eastAsia" w:ascii="宋体" w:hAnsi="宋体"/>
          <w:sz w:val="24"/>
        </w:rPr>
      </w:pPr>
      <w:bookmarkStart w:id="154" w:name="_Toc205886227"/>
      <w:bookmarkStart w:id="155" w:name="_Toc205885215"/>
      <w:r>
        <w:rPr>
          <w:rFonts w:ascii="宋体" w:hAnsi="宋体"/>
          <w:b/>
          <w:sz w:val="24"/>
        </w:rPr>
        <w:t>第四十条</w:t>
      </w:r>
      <w:r>
        <w:rPr>
          <w:rFonts w:ascii="宋体" w:hAnsi="宋体"/>
          <w:sz w:val="24"/>
        </w:rPr>
        <w:t xml:space="preserve">  各部门必须认真执行国家有关现金管理的规定，指定专职出纳人员，负责现金的管理。各项现金收付必须严密手续，保证安全。除银行规定的库存限额以外，库存现金都必须存入银行。现金管理必须做到日清月结，账款相符，不得以白条抵库。</w:t>
      </w:r>
      <w:bookmarkEnd w:id="154"/>
      <w:bookmarkEnd w:id="155"/>
    </w:p>
    <w:p>
      <w:pPr>
        <w:spacing w:line="400" w:lineRule="atLeast"/>
        <w:ind w:firstLine="482" w:firstLineChars="200"/>
        <w:rPr>
          <w:rFonts w:hint="eastAsia" w:ascii="宋体" w:hAnsi="宋体"/>
          <w:sz w:val="24"/>
        </w:rPr>
      </w:pPr>
      <w:bookmarkStart w:id="156" w:name="_Toc205886228"/>
      <w:bookmarkStart w:id="157" w:name="_Toc205885216"/>
      <w:r>
        <w:rPr>
          <w:rFonts w:ascii="宋体" w:hAnsi="宋体"/>
          <w:b/>
          <w:sz w:val="24"/>
        </w:rPr>
        <w:t>第四十一条</w:t>
      </w:r>
      <w:r>
        <w:rPr>
          <w:rFonts w:ascii="宋体" w:hAnsi="宋体"/>
          <w:sz w:val="24"/>
        </w:rPr>
        <w:t xml:space="preserve">  各部门应认真执行国家有关银行存款管理的规定，指定专职出纳人员负责银行存款的管理，各部门只能在当地就近的国有商业银行或国家政策性银行开设财政资金基本存款户和其他资金存款户，因特殊情况需要增设的，须报国管局审批。</w:t>
      </w:r>
      <w:bookmarkEnd w:id="156"/>
      <w:bookmarkEnd w:id="157"/>
      <w:r>
        <w:rPr>
          <w:rFonts w:ascii="宋体" w:hAnsi="宋体"/>
          <w:sz w:val="24"/>
        </w:rPr>
        <w:t xml:space="preserve"> </w:t>
      </w:r>
    </w:p>
    <w:p>
      <w:pPr>
        <w:spacing w:line="400" w:lineRule="atLeast"/>
        <w:ind w:firstLine="482" w:firstLineChars="200"/>
        <w:rPr>
          <w:rFonts w:hint="eastAsia" w:ascii="宋体" w:hAnsi="宋体"/>
          <w:sz w:val="24"/>
        </w:rPr>
      </w:pPr>
      <w:bookmarkStart w:id="158" w:name="_Toc205885217"/>
      <w:bookmarkStart w:id="159" w:name="_Toc205886229"/>
      <w:r>
        <w:rPr>
          <w:rFonts w:ascii="宋体" w:hAnsi="宋体"/>
          <w:b/>
          <w:sz w:val="24"/>
        </w:rPr>
        <w:t>第四十二条</w:t>
      </w:r>
      <w:r>
        <w:rPr>
          <w:rFonts w:ascii="宋体" w:hAnsi="宋体"/>
          <w:sz w:val="24"/>
        </w:rPr>
        <w:t xml:space="preserve">  各部门应严格遵守银行的各项结算制度，超过银行规定结算起点限额的各项资金往来，都必须通过银行办理转账结算。</w:t>
      </w:r>
      <w:bookmarkEnd w:id="158"/>
      <w:bookmarkEnd w:id="159"/>
      <w:bookmarkStart w:id="160" w:name="_Toc205885218"/>
      <w:bookmarkStart w:id="161" w:name="_Toc205886230"/>
    </w:p>
    <w:p>
      <w:pPr>
        <w:spacing w:line="440" w:lineRule="atLeast"/>
        <w:ind w:firstLine="480" w:firstLineChars="200"/>
        <w:rPr>
          <w:rFonts w:hint="eastAsia" w:ascii="宋体" w:hAnsi="宋体"/>
          <w:sz w:val="24"/>
        </w:rPr>
      </w:pPr>
      <w:r>
        <w:rPr>
          <w:rFonts w:ascii="宋体" w:hAnsi="宋体"/>
          <w:sz w:val="24"/>
        </w:rPr>
        <w:t>各部门不准出租、出借、转让银行账户，套取银行信用。要严格支票管理，不得签发</w:t>
      </w:r>
      <w:r>
        <w:rPr>
          <w:rFonts w:hint="eastAsia" w:ascii="宋体" w:hAnsi="宋体"/>
          <w:sz w:val="24"/>
        </w:rPr>
        <w:t>“</w:t>
      </w:r>
      <w:r>
        <w:rPr>
          <w:rFonts w:ascii="宋体" w:hAnsi="宋体"/>
          <w:sz w:val="24"/>
        </w:rPr>
        <w:t>空头支票</w:t>
      </w:r>
      <w:r>
        <w:rPr>
          <w:rFonts w:hint="eastAsia" w:ascii="宋体" w:hAnsi="宋体"/>
          <w:sz w:val="24"/>
        </w:rPr>
        <w:t>”，</w:t>
      </w:r>
      <w:r>
        <w:rPr>
          <w:rFonts w:ascii="宋体" w:hAnsi="宋体"/>
          <w:sz w:val="24"/>
        </w:rPr>
        <w:t>空白支票必须严格领用、注销手续，银行账户印鉴和支票应分设专人保管。各部门应及时与银行送达的对账单逐笔核对银行日记账，年终时，必须全部核对无误。</w:t>
      </w:r>
      <w:bookmarkEnd w:id="160"/>
      <w:bookmarkEnd w:id="161"/>
      <w:r>
        <w:rPr>
          <w:rFonts w:ascii="宋体" w:hAnsi="宋体"/>
          <w:sz w:val="24"/>
        </w:rPr>
        <w:t xml:space="preserve"> </w:t>
      </w:r>
    </w:p>
    <w:p>
      <w:pPr>
        <w:spacing w:line="440" w:lineRule="atLeast"/>
        <w:ind w:firstLine="482" w:firstLineChars="200"/>
        <w:rPr>
          <w:rFonts w:hint="eastAsia" w:ascii="宋体" w:hAnsi="宋体"/>
          <w:sz w:val="24"/>
        </w:rPr>
      </w:pPr>
      <w:bookmarkStart w:id="162" w:name="_Toc205885219"/>
      <w:bookmarkStart w:id="163" w:name="_Toc205886231"/>
      <w:r>
        <w:rPr>
          <w:rFonts w:ascii="宋体" w:hAnsi="宋体"/>
          <w:b/>
          <w:sz w:val="24"/>
        </w:rPr>
        <w:t>第四十三条</w:t>
      </w:r>
      <w:r>
        <w:rPr>
          <w:rFonts w:ascii="宋体" w:hAnsi="宋体"/>
          <w:sz w:val="24"/>
        </w:rPr>
        <w:t xml:space="preserve">  库存材料是指各部门大宗购入的、需要库存的物资材料。</w:t>
      </w:r>
      <w:bookmarkEnd w:id="162"/>
      <w:bookmarkEnd w:id="163"/>
      <w:bookmarkStart w:id="164" w:name="_Toc205886232"/>
      <w:bookmarkStart w:id="165" w:name="_Toc205885220"/>
      <w:r>
        <w:rPr>
          <w:rFonts w:ascii="宋体" w:hAnsi="宋体"/>
          <w:sz w:val="24"/>
        </w:rPr>
        <w:t>各部门购买的库存材料，应严格入库验收、出库领用手续，并进行定期清查，做到账实相符。</w:t>
      </w:r>
      <w:bookmarkEnd w:id="164"/>
      <w:bookmarkEnd w:id="165"/>
    </w:p>
    <w:p>
      <w:pPr>
        <w:spacing w:line="440" w:lineRule="atLeast"/>
        <w:ind w:firstLine="482" w:firstLineChars="200"/>
        <w:rPr>
          <w:rFonts w:hint="eastAsia" w:ascii="宋体" w:hAnsi="宋体"/>
          <w:sz w:val="24"/>
        </w:rPr>
      </w:pPr>
      <w:bookmarkStart w:id="166" w:name="_Toc205885221"/>
      <w:bookmarkStart w:id="167" w:name="_Toc205886233"/>
      <w:r>
        <w:rPr>
          <w:rFonts w:ascii="宋体" w:hAnsi="宋体"/>
          <w:b/>
          <w:sz w:val="24"/>
        </w:rPr>
        <w:t xml:space="preserve">第四十四条  </w:t>
      </w:r>
      <w:r>
        <w:rPr>
          <w:rFonts w:ascii="宋体" w:hAnsi="宋体"/>
          <w:sz w:val="24"/>
        </w:rPr>
        <w:t>暂付款是指各部门在业务活动中与其他单位、所属单位或本单位职工发生的临时性结算款项。</w:t>
      </w:r>
      <w:bookmarkEnd w:id="166"/>
      <w:bookmarkEnd w:id="167"/>
      <w:bookmarkStart w:id="168" w:name="_Toc205885222"/>
      <w:bookmarkStart w:id="169" w:name="_Toc205886234"/>
    </w:p>
    <w:p>
      <w:pPr>
        <w:spacing w:line="440" w:lineRule="atLeast"/>
        <w:ind w:firstLine="480" w:firstLineChars="200"/>
        <w:rPr>
          <w:rFonts w:hint="eastAsia" w:ascii="宋体" w:hAnsi="宋体"/>
          <w:sz w:val="24"/>
        </w:rPr>
      </w:pPr>
      <w:r>
        <w:rPr>
          <w:rFonts w:ascii="宋体" w:hAnsi="宋体"/>
          <w:sz w:val="24"/>
        </w:rPr>
        <w:t>各部门应当严格控制暂付款的范围，暂付款不能用于与业务活动无关的事项。暂付款应当及时收回和清理，不得长期挂账。</w:t>
      </w:r>
      <w:bookmarkEnd w:id="168"/>
      <w:bookmarkEnd w:id="169"/>
    </w:p>
    <w:p>
      <w:pPr>
        <w:spacing w:line="440" w:lineRule="atLeast"/>
        <w:ind w:firstLine="482" w:firstLineChars="200"/>
        <w:rPr>
          <w:rFonts w:hint="eastAsia" w:ascii="宋体" w:hAnsi="宋体"/>
          <w:sz w:val="24"/>
        </w:rPr>
      </w:pPr>
      <w:bookmarkStart w:id="170" w:name="_Toc205886235"/>
      <w:bookmarkStart w:id="171" w:name="_Toc205885223"/>
      <w:r>
        <w:rPr>
          <w:rFonts w:ascii="宋体" w:hAnsi="宋体"/>
          <w:b/>
          <w:sz w:val="24"/>
        </w:rPr>
        <w:t>第四十五条</w:t>
      </w:r>
      <w:r>
        <w:rPr>
          <w:rFonts w:ascii="宋体" w:hAnsi="宋体"/>
          <w:sz w:val="24"/>
        </w:rPr>
        <w:t xml:space="preserve">  各部门用结余资金购买的有价证券，应当作为货币资金妥善保管。各部门只能购买国债，不得购买其他有价证券。</w:t>
      </w:r>
      <w:bookmarkEnd w:id="170"/>
      <w:bookmarkEnd w:id="171"/>
    </w:p>
    <w:p>
      <w:pPr>
        <w:spacing w:line="440" w:lineRule="atLeast"/>
        <w:ind w:firstLine="482" w:firstLineChars="200"/>
        <w:rPr>
          <w:rFonts w:hint="eastAsia" w:ascii="宋体" w:hAnsi="宋体"/>
          <w:sz w:val="24"/>
        </w:rPr>
      </w:pPr>
      <w:bookmarkStart w:id="172" w:name="_Toc205885224"/>
      <w:bookmarkStart w:id="173" w:name="_Toc205886236"/>
      <w:r>
        <w:rPr>
          <w:rFonts w:ascii="宋体" w:hAnsi="宋体"/>
          <w:b/>
          <w:sz w:val="24"/>
        </w:rPr>
        <w:t>第四十六条</w:t>
      </w:r>
      <w:r>
        <w:rPr>
          <w:rFonts w:ascii="宋体" w:hAnsi="宋体"/>
          <w:sz w:val="24"/>
        </w:rPr>
        <w:t xml:space="preserve">  固定资产是指单位价值在规定标准以上，使用期限在一年以上，并在使用过程中能基本保持原有物质形态的资产。固定资产的单位价值标准是：一般设备单位价值在500元以上，专用设备单位价值在800元以上。</w:t>
      </w:r>
      <w:bookmarkEnd w:id="172"/>
      <w:bookmarkEnd w:id="173"/>
      <w:bookmarkStart w:id="174" w:name="_Toc205885225"/>
      <w:bookmarkStart w:id="175" w:name="_Toc205886237"/>
      <w:r>
        <w:rPr>
          <w:rFonts w:ascii="宋体" w:hAnsi="宋体"/>
          <w:sz w:val="24"/>
        </w:rPr>
        <w:t>单位价值虽不足以上规定价值标准，但使用时间在一年以上的大批同类物资，应当视作固定资产管理。</w:t>
      </w:r>
      <w:bookmarkEnd w:id="174"/>
      <w:bookmarkEnd w:id="175"/>
      <w:bookmarkStart w:id="176" w:name="_Toc205886238"/>
      <w:bookmarkStart w:id="177" w:name="_Toc205885226"/>
    </w:p>
    <w:p>
      <w:pPr>
        <w:spacing w:line="440" w:lineRule="atLeast"/>
        <w:ind w:firstLine="480" w:firstLineChars="200"/>
        <w:rPr>
          <w:rFonts w:hint="eastAsia" w:ascii="宋体" w:hAnsi="宋体"/>
          <w:sz w:val="24"/>
        </w:rPr>
      </w:pPr>
      <w:r>
        <w:rPr>
          <w:rFonts w:ascii="宋体" w:hAnsi="宋体"/>
          <w:sz w:val="24"/>
        </w:rPr>
        <w:t>固定资产包括房屋及建筑物、专用设备、一般设备、交通工具、图书、其他固定资产。</w:t>
      </w:r>
      <w:bookmarkEnd w:id="176"/>
      <w:bookmarkEnd w:id="177"/>
    </w:p>
    <w:p>
      <w:pPr>
        <w:spacing w:line="440" w:lineRule="atLeast"/>
        <w:ind w:firstLine="482" w:firstLineChars="200"/>
        <w:rPr>
          <w:rFonts w:hint="eastAsia" w:ascii="宋体" w:hAnsi="宋体"/>
          <w:sz w:val="24"/>
        </w:rPr>
      </w:pPr>
      <w:bookmarkStart w:id="178" w:name="_Toc205885227"/>
      <w:bookmarkStart w:id="179" w:name="_Toc205886239"/>
      <w:r>
        <w:rPr>
          <w:rFonts w:ascii="宋体" w:hAnsi="宋体"/>
          <w:b/>
          <w:sz w:val="24"/>
        </w:rPr>
        <w:t>第四十七条</w:t>
      </w:r>
      <w:r>
        <w:rPr>
          <w:rFonts w:ascii="宋体" w:hAnsi="宋体"/>
          <w:sz w:val="24"/>
        </w:rPr>
        <w:t xml:space="preserve">  各部门占有、使用的固定资产，由财务部门统一建账、核算，由资产管理部门统一登记、管理。财务部门和资产管理部门要定期核对，做到账账相符，账实相符，发现问题应查明原因，明确责任，问题严重的报请主管预算单位处理。</w:t>
      </w:r>
      <w:bookmarkEnd w:id="178"/>
      <w:bookmarkEnd w:id="179"/>
      <w:bookmarkStart w:id="180" w:name="_Toc205885228"/>
      <w:bookmarkStart w:id="181" w:name="_Toc205886240"/>
      <w:r>
        <w:rPr>
          <w:rFonts w:ascii="宋体" w:hAnsi="宋体"/>
          <w:sz w:val="24"/>
        </w:rPr>
        <w:t>固定资产的转移、出售、报废和报损</w:t>
      </w:r>
      <w:r>
        <w:rPr>
          <w:rFonts w:hint="eastAsia" w:ascii="宋体" w:hAnsi="宋体"/>
          <w:sz w:val="24"/>
        </w:rPr>
        <w:t>，</w:t>
      </w:r>
      <w:r>
        <w:rPr>
          <w:rFonts w:ascii="宋体" w:hAnsi="宋体"/>
          <w:sz w:val="24"/>
        </w:rPr>
        <w:t>按照国有资产处置规定办理报批后，由财务部门作相应的账务处理。</w:t>
      </w:r>
      <w:bookmarkEnd w:id="180"/>
      <w:bookmarkEnd w:id="181"/>
      <w:bookmarkStart w:id="182" w:name="_Toc205886241"/>
      <w:bookmarkStart w:id="183" w:name="_Toc205885229"/>
    </w:p>
    <w:p>
      <w:pPr>
        <w:spacing w:line="440" w:lineRule="atLeast"/>
        <w:ind w:firstLine="480" w:firstLineChars="200"/>
        <w:rPr>
          <w:rFonts w:hint="eastAsia" w:ascii="宋体" w:hAnsi="宋体"/>
          <w:sz w:val="24"/>
        </w:rPr>
      </w:pPr>
      <w:r>
        <w:rPr>
          <w:rFonts w:ascii="宋体" w:hAnsi="宋体"/>
          <w:sz w:val="24"/>
        </w:rPr>
        <w:t>各部门取得的固定资产出租收入、固定资产占用费收入、固定资产有偿转让收入，原则上仍应用于固定资产的更新和维修。</w:t>
      </w:r>
      <w:bookmarkEnd w:id="182"/>
      <w:bookmarkEnd w:id="183"/>
      <w:r>
        <w:rPr>
          <w:rFonts w:ascii="宋体" w:hAnsi="宋体"/>
          <w:sz w:val="24"/>
        </w:rPr>
        <w:t xml:space="preserve"> </w:t>
      </w:r>
    </w:p>
    <w:p>
      <w:pPr>
        <w:spacing w:line="440" w:lineRule="atLeast"/>
        <w:ind w:firstLine="482" w:firstLineChars="200"/>
        <w:rPr>
          <w:rFonts w:hint="eastAsia" w:ascii="宋体" w:hAnsi="宋体"/>
          <w:sz w:val="24"/>
        </w:rPr>
      </w:pPr>
      <w:bookmarkStart w:id="184" w:name="_Toc205886242"/>
      <w:bookmarkStart w:id="185" w:name="_Toc205885230"/>
      <w:r>
        <w:rPr>
          <w:rFonts w:ascii="宋体" w:hAnsi="宋体"/>
          <w:b/>
          <w:sz w:val="24"/>
        </w:rPr>
        <w:t>第四十八条</w:t>
      </w:r>
      <w:r>
        <w:rPr>
          <w:rFonts w:ascii="宋体" w:hAnsi="宋体"/>
          <w:sz w:val="24"/>
        </w:rPr>
        <w:t xml:space="preserve">  各部门应当根据合理、节约、有效的原则，进行固定资产配置。购置固定资产时，要兼顾单位财力的可能，防止盲目购置、重复购置，造成资金浪费和资产闲置。</w:t>
      </w:r>
      <w:bookmarkEnd w:id="184"/>
      <w:bookmarkEnd w:id="185"/>
    </w:p>
    <w:p>
      <w:pPr>
        <w:spacing w:line="440" w:lineRule="atLeast"/>
        <w:ind w:firstLine="482" w:firstLineChars="200"/>
        <w:rPr>
          <w:rFonts w:ascii="宋体" w:hAnsi="宋体"/>
          <w:sz w:val="24"/>
        </w:rPr>
      </w:pPr>
      <w:bookmarkStart w:id="186" w:name="_Toc205886243"/>
      <w:bookmarkStart w:id="187" w:name="_Toc205885231"/>
      <w:r>
        <w:rPr>
          <w:rFonts w:ascii="宋体" w:hAnsi="宋体"/>
          <w:b/>
          <w:sz w:val="24"/>
        </w:rPr>
        <w:t>第四十九条</w:t>
      </w:r>
      <w:r>
        <w:rPr>
          <w:rFonts w:ascii="宋体" w:hAnsi="宋体"/>
          <w:sz w:val="24"/>
        </w:rPr>
        <w:t xml:space="preserve">  各部门固定资产的管理，按固定资产管理的有关规定执行，非经营性固定资产不计提折旧。非经营性资产转为经营性资产的，应当按照《中央国家机关非经营性资产转经营性资产管理暂行规定》的有关规定，进行资产评估，报有关部门批准，并收取一定比例的资产占用费。</w:t>
      </w:r>
      <w:bookmarkEnd w:id="186"/>
      <w:bookmarkEnd w:id="187"/>
    </w:p>
    <w:p>
      <w:pPr>
        <w:spacing w:before="203" w:beforeLines="50" w:after="203" w:afterLines="50" w:line="400" w:lineRule="atLeast"/>
        <w:jc w:val="center"/>
        <w:rPr>
          <w:rFonts w:eastAsia="黑体"/>
          <w:sz w:val="24"/>
        </w:rPr>
      </w:pPr>
      <w:bookmarkStart w:id="188" w:name="_Toc205885232"/>
      <w:bookmarkStart w:id="189" w:name="_Toc205886244"/>
      <w:r>
        <w:rPr>
          <w:rFonts w:eastAsia="黑体"/>
          <w:sz w:val="24"/>
        </w:rPr>
        <w:t>第七章  应缴款、暂存款的管理</w:t>
      </w:r>
      <w:bookmarkEnd w:id="188"/>
      <w:bookmarkEnd w:id="189"/>
    </w:p>
    <w:p>
      <w:pPr>
        <w:spacing w:line="400" w:lineRule="atLeast"/>
        <w:ind w:firstLine="482" w:firstLineChars="200"/>
        <w:rPr>
          <w:rFonts w:hint="eastAsia" w:ascii="宋体" w:hAnsi="宋体"/>
          <w:sz w:val="24"/>
        </w:rPr>
      </w:pPr>
      <w:bookmarkStart w:id="190" w:name="_Toc205886245"/>
      <w:bookmarkStart w:id="191" w:name="_Toc205885233"/>
      <w:r>
        <w:rPr>
          <w:rFonts w:ascii="宋体" w:hAnsi="宋体"/>
          <w:b/>
          <w:sz w:val="24"/>
        </w:rPr>
        <w:t>第五十条</w:t>
      </w:r>
      <w:r>
        <w:rPr>
          <w:rFonts w:ascii="宋体" w:hAnsi="宋体"/>
          <w:sz w:val="24"/>
        </w:rPr>
        <w:t xml:space="preserve">  应缴预算款是各部门依法取得并应上缴国库的预算资金。包括按规定纳入预算管理的基金收入，行政性收费收入、罚没款、赃款、礼品变价收入等。</w:t>
      </w:r>
      <w:bookmarkEnd w:id="190"/>
      <w:bookmarkEnd w:id="191"/>
    </w:p>
    <w:p>
      <w:pPr>
        <w:spacing w:line="400" w:lineRule="atLeast"/>
        <w:ind w:firstLine="482" w:firstLineChars="200"/>
        <w:rPr>
          <w:rFonts w:hint="eastAsia" w:ascii="宋体" w:hAnsi="宋体"/>
          <w:sz w:val="24"/>
        </w:rPr>
      </w:pPr>
      <w:bookmarkStart w:id="192" w:name="_Toc205886246"/>
      <w:bookmarkStart w:id="193" w:name="_Toc205885234"/>
      <w:r>
        <w:rPr>
          <w:rFonts w:ascii="宋体" w:hAnsi="宋体"/>
          <w:b/>
          <w:sz w:val="24"/>
        </w:rPr>
        <w:t>第五十一条</w:t>
      </w:r>
      <w:r>
        <w:rPr>
          <w:rFonts w:ascii="宋体" w:hAnsi="宋体"/>
          <w:sz w:val="24"/>
        </w:rPr>
        <w:t xml:space="preserve">  应缴财政专户款是各部门按规定代收的应上缴财政专户的预算外资金。应缴财政专户的预算外资金范围及管理办法，按有关规定办理。</w:t>
      </w:r>
      <w:bookmarkEnd w:id="192"/>
      <w:bookmarkEnd w:id="193"/>
    </w:p>
    <w:p>
      <w:pPr>
        <w:spacing w:line="400" w:lineRule="atLeast"/>
        <w:ind w:firstLine="482" w:firstLineChars="200"/>
        <w:rPr>
          <w:rFonts w:hint="eastAsia" w:ascii="宋体" w:hAnsi="宋体"/>
          <w:sz w:val="24"/>
        </w:rPr>
      </w:pPr>
      <w:bookmarkStart w:id="194" w:name="_Toc205886247"/>
      <w:bookmarkStart w:id="195" w:name="_Toc205885235"/>
      <w:r>
        <w:rPr>
          <w:rFonts w:ascii="宋体" w:hAnsi="宋体"/>
          <w:b/>
          <w:sz w:val="24"/>
        </w:rPr>
        <w:t>第五十二条</w:t>
      </w:r>
      <w:r>
        <w:rPr>
          <w:rFonts w:ascii="宋体" w:hAnsi="宋体"/>
          <w:sz w:val="24"/>
        </w:rPr>
        <w:t xml:space="preserve">  各部门取得应缴预算款、应缴财政专户款时，应当出示有关收费许可证，并按规定使用合法票据。</w:t>
      </w:r>
      <w:bookmarkEnd w:id="194"/>
      <w:bookmarkEnd w:id="195"/>
      <w:bookmarkStart w:id="196" w:name="_Toc205886248"/>
      <w:bookmarkStart w:id="197" w:name="_Toc205885236"/>
    </w:p>
    <w:p>
      <w:pPr>
        <w:spacing w:line="400" w:lineRule="atLeast"/>
        <w:ind w:firstLine="480" w:firstLineChars="200"/>
        <w:rPr>
          <w:rFonts w:hint="eastAsia" w:ascii="宋体" w:hAnsi="宋体"/>
          <w:sz w:val="24"/>
        </w:rPr>
      </w:pPr>
      <w:r>
        <w:rPr>
          <w:rFonts w:ascii="宋体" w:hAnsi="宋体"/>
          <w:sz w:val="24"/>
        </w:rPr>
        <w:t>应缴预算款、应缴财政专户款应按照规定及时、足额上缴，不得挪用、截留或者坐支。</w:t>
      </w:r>
      <w:bookmarkEnd w:id="196"/>
      <w:bookmarkEnd w:id="197"/>
    </w:p>
    <w:p>
      <w:pPr>
        <w:spacing w:line="400" w:lineRule="atLeast"/>
        <w:ind w:firstLine="482" w:firstLineChars="200"/>
        <w:rPr>
          <w:rFonts w:hint="eastAsia" w:ascii="宋体" w:hAnsi="宋体"/>
          <w:sz w:val="24"/>
        </w:rPr>
      </w:pPr>
      <w:bookmarkStart w:id="198" w:name="_Toc205886249"/>
      <w:bookmarkStart w:id="199" w:name="_Toc205885237"/>
      <w:r>
        <w:rPr>
          <w:rFonts w:ascii="宋体" w:hAnsi="宋体"/>
          <w:b/>
          <w:sz w:val="24"/>
        </w:rPr>
        <w:t>第五十三条</w:t>
      </w:r>
      <w:r>
        <w:rPr>
          <w:rFonts w:ascii="宋体" w:hAnsi="宋体"/>
          <w:sz w:val="24"/>
        </w:rPr>
        <w:t xml:space="preserve">  暂存款是各部门在业务活动中发生的暂时存放、持结算的款项，主要包括代扣的房租费、水电费，以及党费、团费、工会经费、公费医疗款等。</w:t>
      </w:r>
      <w:bookmarkEnd w:id="198"/>
      <w:bookmarkEnd w:id="199"/>
      <w:bookmarkStart w:id="200" w:name="_Toc205885238"/>
      <w:bookmarkStart w:id="201" w:name="_Toc205886250"/>
    </w:p>
    <w:p>
      <w:pPr>
        <w:spacing w:line="400" w:lineRule="atLeast"/>
        <w:ind w:firstLine="480" w:firstLineChars="200"/>
        <w:rPr>
          <w:rFonts w:hint="eastAsia" w:ascii="宋体" w:hAnsi="宋体"/>
          <w:sz w:val="24"/>
        </w:rPr>
      </w:pPr>
      <w:r>
        <w:rPr>
          <w:rFonts w:ascii="宋体" w:hAnsi="宋体"/>
          <w:sz w:val="24"/>
        </w:rPr>
        <w:t>各部门的暂存款项应按暂存部门的有关要求进行管理，及时清理、结算，不得长期挂账。</w:t>
      </w:r>
      <w:bookmarkEnd w:id="200"/>
      <w:bookmarkEnd w:id="201"/>
    </w:p>
    <w:p>
      <w:pPr>
        <w:spacing w:line="400" w:lineRule="atLeast"/>
        <w:ind w:firstLine="482" w:firstLineChars="200"/>
        <w:rPr>
          <w:rFonts w:hint="eastAsia" w:ascii="宋体" w:hAnsi="宋体"/>
          <w:sz w:val="24"/>
        </w:rPr>
      </w:pPr>
      <w:bookmarkStart w:id="202" w:name="_Toc205886251"/>
      <w:bookmarkStart w:id="203" w:name="_Toc205885239"/>
      <w:r>
        <w:rPr>
          <w:rFonts w:ascii="宋体" w:hAnsi="宋体"/>
          <w:b/>
          <w:sz w:val="24"/>
        </w:rPr>
        <w:t>第五十四条</w:t>
      </w:r>
      <w:r>
        <w:rPr>
          <w:rFonts w:ascii="宋体" w:hAnsi="宋体"/>
          <w:sz w:val="24"/>
        </w:rPr>
        <w:t xml:space="preserve">  暂存款中的代管经费是指各部门的行政财务部门在规定职责之外，受职能部门或其他单位的委托，代其管理的不属于本部门行政财务活动范围的款项。</w:t>
      </w:r>
      <w:bookmarkEnd w:id="202"/>
      <w:bookmarkEnd w:id="203"/>
      <w:bookmarkStart w:id="204" w:name="_Toc205885240"/>
      <w:bookmarkStart w:id="205" w:name="_Toc205886252"/>
    </w:p>
    <w:p>
      <w:pPr>
        <w:spacing w:line="400" w:lineRule="atLeast"/>
        <w:ind w:firstLine="480" w:firstLineChars="200"/>
        <w:rPr>
          <w:rFonts w:hint="eastAsia" w:ascii="宋体" w:hAnsi="宋体"/>
          <w:sz w:val="24"/>
        </w:rPr>
      </w:pPr>
      <w:r>
        <w:rPr>
          <w:rFonts w:ascii="宋体" w:hAnsi="宋体"/>
          <w:sz w:val="24"/>
        </w:rPr>
        <w:t>各部门应按照委托单位的要求和国家有关规定，及时办理款项收付。定期向委托单位核对和报告。年终时向委托单位编报决算。临时代其他单位管理的经费，业务结束时，应及时结清，退回余款。各部门为其他单位代管经费，可适当提取一定的劳务费，其提取比例应与委托代管单位协议确定。为本单位或职能部门代管的经费，不得计提劳务费。</w:t>
      </w:r>
      <w:bookmarkEnd w:id="204"/>
      <w:bookmarkEnd w:id="205"/>
    </w:p>
    <w:p>
      <w:pPr>
        <w:spacing w:line="400" w:lineRule="atLeast"/>
        <w:ind w:firstLine="482" w:firstLineChars="200"/>
        <w:rPr>
          <w:rFonts w:ascii="宋体" w:hAnsi="宋体"/>
          <w:sz w:val="24"/>
        </w:rPr>
      </w:pPr>
      <w:bookmarkStart w:id="206" w:name="_Toc205886253"/>
      <w:bookmarkStart w:id="207" w:name="_Toc205885241"/>
      <w:r>
        <w:rPr>
          <w:rFonts w:ascii="宋体" w:hAnsi="宋体"/>
          <w:b/>
          <w:sz w:val="24"/>
        </w:rPr>
        <w:t xml:space="preserve">第五十五条  </w:t>
      </w:r>
      <w:r>
        <w:rPr>
          <w:rFonts w:ascii="宋体" w:hAnsi="宋体"/>
          <w:sz w:val="24"/>
        </w:rPr>
        <w:t>各部门不得将应纳入单位预算管理的预算外资金收入、其他收入作为暂存款或代管经费管理。</w:t>
      </w:r>
      <w:bookmarkEnd w:id="206"/>
      <w:bookmarkEnd w:id="207"/>
    </w:p>
    <w:p>
      <w:pPr>
        <w:spacing w:before="203" w:beforeLines="50" w:after="203" w:afterLines="50" w:line="400" w:lineRule="atLeast"/>
        <w:jc w:val="center"/>
        <w:rPr>
          <w:rFonts w:eastAsia="黑体"/>
          <w:sz w:val="24"/>
        </w:rPr>
      </w:pPr>
      <w:bookmarkStart w:id="208" w:name="_Toc205886254"/>
      <w:bookmarkStart w:id="209" w:name="_Toc205885242"/>
      <w:r>
        <w:rPr>
          <w:rFonts w:eastAsia="黑体"/>
          <w:sz w:val="24"/>
        </w:rPr>
        <w:t>第八章  划转撤并部门的财务处理</w:t>
      </w:r>
      <w:bookmarkEnd w:id="208"/>
      <w:bookmarkEnd w:id="209"/>
    </w:p>
    <w:p>
      <w:pPr>
        <w:spacing w:line="400" w:lineRule="atLeast"/>
        <w:ind w:firstLine="482" w:firstLineChars="200"/>
        <w:rPr>
          <w:rFonts w:hint="eastAsia" w:ascii="宋体" w:hAnsi="宋体"/>
          <w:sz w:val="24"/>
        </w:rPr>
      </w:pPr>
      <w:bookmarkStart w:id="210" w:name="_Toc205885243"/>
      <w:bookmarkStart w:id="211" w:name="_Toc205886255"/>
      <w:r>
        <w:rPr>
          <w:rFonts w:ascii="宋体" w:hAnsi="宋体"/>
          <w:b/>
          <w:sz w:val="24"/>
        </w:rPr>
        <w:t xml:space="preserve">第五十六条  </w:t>
      </w:r>
      <w:r>
        <w:rPr>
          <w:rFonts w:ascii="宋体" w:hAnsi="宋体"/>
          <w:sz w:val="24"/>
        </w:rPr>
        <w:t>各部门依法划转撤并时，应在财政部门、主管预算单位的监督、指导下，进行全面的财务清查，编制有关财务报表，提供所有的财产物资和往来款项的清单，做好各项财产物资的移交、划转、接收等各项工作。</w:t>
      </w:r>
      <w:bookmarkEnd w:id="210"/>
      <w:bookmarkEnd w:id="211"/>
    </w:p>
    <w:p>
      <w:pPr>
        <w:spacing w:line="400" w:lineRule="atLeast"/>
        <w:ind w:firstLine="482" w:firstLineChars="200"/>
        <w:rPr>
          <w:rFonts w:hint="eastAsia" w:ascii="宋体" w:hAnsi="宋体"/>
          <w:sz w:val="24"/>
        </w:rPr>
      </w:pPr>
      <w:bookmarkStart w:id="212" w:name="_Toc205885244"/>
      <w:bookmarkStart w:id="213" w:name="_Toc205886256"/>
      <w:r>
        <w:rPr>
          <w:rFonts w:ascii="宋体" w:hAnsi="宋体"/>
          <w:b/>
          <w:sz w:val="24"/>
        </w:rPr>
        <w:t xml:space="preserve">第五十七条  </w:t>
      </w:r>
      <w:r>
        <w:rPr>
          <w:rFonts w:ascii="宋体" w:hAnsi="宋体"/>
          <w:sz w:val="24"/>
        </w:rPr>
        <w:t>划转撤并部门的资产分别按照下列规定处理：</w:t>
      </w:r>
      <w:bookmarkEnd w:id="212"/>
      <w:bookmarkEnd w:id="213"/>
    </w:p>
    <w:p>
      <w:pPr>
        <w:spacing w:line="400" w:lineRule="atLeast"/>
        <w:ind w:firstLine="480" w:firstLineChars="200"/>
        <w:rPr>
          <w:rFonts w:hint="eastAsia" w:ascii="宋体" w:hAnsi="宋体"/>
          <w:sz w:val="24"/>
        </w:rPr>
      </w:pPr>
      <w:bookmarkStart w:id="214" w:name="_Toc205885245"/>
      <w:bookmarkStart w:id="215" w:name="_Toc205886257"/>
      <w:r>
        <w:rPr>
          <w:rFonts w:ascii="宋体" w:hAnsi="宋体"/>
          <w:sz w:val="24"/>
        </w:rPr>
        <w:t>（一）转为事业单位和改变隶属关系的部门，经主管预算单位批准，全部资产无偿移交，并相应调整经费预算指标。</w:t>
      </w:r>
      <w:bookmarkEnd w:id="214"/>
      <w:bookmarkEnd w:id="215"/>
    </w:p>
    <w:p>
      <w:pPr>
        <w:spacing w:line="400" w:lineRule="atLeast"/>
        <w:ind w:firstLine="480" w:firstLineChars="200"/>
        <w:rPr>
          <w:rFonts w:hint="eastAsia" w:ascii="宋体" w:hAnsi="宋体"/>
          <w:sz w:val="24"/>
        </w:rPr>
      </w:pPr>
      <w:bookmarkStart w:id="216" w:name="_Toc205886258"/>
      <w:bookmarkStart w:id="217" w:name="_Toc205885246"/>
      <w:r>
        <w:rPr>
          <w:rFonts w:ascii="宋体" w:hAnsi="宋体"/>
          <w:sz w:val="24"/>
        </w:rPr>
        <w:t>（二）转为企业的部门，由原单位负责对其全部资产进行清理和登记造册，并按照有关规定进行评估作价，经主管预算单位审核并报财政部审批后，其资产全额转作企业的国家资本金</w:t>
      </w:r>
      <w:bookmarkEnd w:id="216"/>
      <w:bookmarkEnd w:id="217"/>
      <w:r>
        <w:rPr>
          <w:rFonts w:ascii="宋体" w:hAnsi="宋体"/>
          <w:sz w:val="24"/>
        </w:rPr>
        <w:t>。</w:t>
      </w:r>
    </w:p>
    <w:p>
      <w:pPr>
        <w:spacing w:line="400" w:lineRule="atLeast"/>
        <w:ind w:firstLine="480" w:firstLineChars="200"/>
        <w:rPr>
          <w:rFonts w:hint="eastAsia" w:ascii="宋体" w:hAnsi="宋体"/>
          <w:sz w:val="24"/>
        </w:rPr>
      </w:pPr>
      <w:bookmarkStart w:id="218" w:name="_Toc205886259"/>
      <w:bookmarkStart w:id="219" w:name="_Toc205885247"/>
      <w:r>
        <w:rPr>
          <w:rFonts w:ascii="宋体" w:hAnsi="宋体"/>
          <w:sz w:val="24"/>
        </w:rPr>
        <w:t>（三）撤销的部门，应在往来款项处理完毕后，将其全部资产上缴主管预算单位；</w:t>
      </w:r>
      <w:bookmarkEnd w:id="218"/>
      <w:bookmarkEnd w:id="219"/>
    </w:p>
    <w:p>
      <w:pPr>
        <w:spacing w:line="400" w:lineRule="atLeast"/>
        <w:ind w:firstLine="480" w:firstLineChars="200"/>
        <w:rPr>
          <w:rFonts w:hint="eastAsia" w:ascii="宋体" w:hAnsi="宋体"/>
          <w:sz w:val="24"/>
        </w:rPr>
      </w:pPr>
      <w:bookmarkStart w:id="220" w:name="_Toc205886260"/>
      <w:bookmarkStart w:id="221" w:name="_Toc205885248"/>
      <w:r>
        <w:rPr>
          <w:rFonts w:ascii="宋体" w:hAnsi="宋体"/>
          <w:sz w:val="24"/>
        </w:rPr>
        <w:t>（四）合并的部门，其全部资产移交新组建的单位。合并后多余的国有资产，由主管预算单位负责处理。</w:t>
      </w:r>
      <w:bookmarkEnd w:id="220"/>
      <w:bookmarkEnd w:id="221"/>
    </w:p>
    <w:p>
      <w:pPr>
        <w:spacing w:line="400" w:lineRule="atLeast"/>
        <w:ind w:firstLine="482" w:firstLineChars="200"/>
        <w:rPr>
          <w:rFonts w:ascii="宋体" w:hAnsi="宋体"/>
          <w:sz w:val="24"/>
        </w:rPr>
      </w:pPr>
      <w:bookmarkStart w:id="222" w:name="_Toc205886261"/>
      <w:bookmarkStart w:id="223" w:name="_Toc205885249"/>
      <w:r>
        <w:rPr>
          <w:rFonts w:ascii="宋体" w:hAnsi="宋体"/>
          <w:b/>
          <w:sz w:val="24"/>
        </w:rPr>
        <w:t xml:space="preserve">第五十八条  </w:t>
      </w:r>
      <w:r>
        <w:rPr>
          <w:rFonts w:ascii="宋体" w:hAnsi="宋体"/>
          <w:sz w:val="24"/>
        </w:rPr>
        <w:t>各部门依法划转撤并的，由主管预算单位组织人员或委托社会中介审计机构对其财务活动进行审计。</w:t>
      </w:r>
      <w:bookmarkEnd w:id="222"/>
      <w:bookmarkEnd w:id="223"/>
    </w:p>
    <w:p>
      <w:pPr>
        <w:spacing w:before="203" w:beforeLines="50" w:after="203" w:afterLines="50" w:line="400" w:lineRule="atLeast"/>
        <w:jc w:val="center"/>
        <w:rPr>
          <w:rFonts w:eastAsia="黑体"/>
          <w:sz w:val="24"/>
        </w:rPr>
      </w:pPr>
      <w:bookmarkStart w:id="224" w:name="_Toc205886262"/>
      <w:bookmarkStart w:id="225" w:name="_Toc205885250"/>
      <w:r>
        <w:rPr>
          <w:rFonts w:eastAsia="黑体"/>
          <w:sz w:val="24"/>
        </w:rPr>
        <w:t>第九章　财务报告和财务分析</w:t>
      </w:r>
      <w:bookmarkEnd w:id="224"/>
      <w:bookmarkEnd w:id="225"/>
    </w:p>
    <w:p>
      <w:pPr>
        <w:spacing w:line="400" w:lineRule="atLeast"/>
        <w:ind w:firstLine="482" w:firstLineChars="200"/>
        <w:rPr>
          <w:rFonts w:hint="eastAsia" w:ascii="宋体" w:hAnsi="宋体"/>
          <w:sz w:val="24"/>
        </w:rPr>
      </w:pPr>
      <w:bookmarkStart w:id="226" w:name="_Toc205885251"/>
      <w:bookmarkStart w:id="227" w:name="_Toc205886263"/>
      <w:r>
        <w:rPr>
          <w:rFonts w:ascii="宋体" w:hAnsi="宋体"/>
          <w:b/>
          <w:sz w:val="24"/>
        </w:rPr>
        <w:t>第五十九条</w:t>
      </w:r>
      <w:r>
        <w:rPr>
          <w:rFonts w:ascii="宋体" w:hAnsi="宋体"/>
          <w:sz w:val="24"/>
        </w:rPr>
        <w:t xml:space="preserve">  财务报告是指全面反映部门一定时期财务状况和预算执行结果的总结性书面文件。包括财务报表和财务情况说明书。</w:t>
      </w:r>
      <w:bookmarkEnd w:id="226"/>
      <w:bookmarkEnd w:id="227"/>
    </w:p>
    <w:p>
      <w:pPr>
        <w:spacing w:line="400" w:lineRule="atLeast"/>
        <w:ind w:firstLine="482" w:firstLineChars="200"/>
        <w:rPr>
          <w:rFonts w:hint="eastAsia" w:ascii="宋体" w:hAnsi="宋体"/>
          <w:sz w:val="24"/>
        </w:rPr>
      </w:pPr>
      <w:bookmarkStart w:id="228" w:name="_Toc205886264"/>
      <w:bookmarkStart w:id="229" w:name="_Toc205885252"/>
      <w:r>
        <w:rPr>
          <w:rFonts w:ascii="宋体" w:hAnsi="宋体"/>
          <w:b/>
          <w:sz w:val="24"/>
        </w:rPr>
        <w:t>第六十条</w:t>
      </w:r>
      <w:r>
        <w:rPr>
          <w:rFonts w:ascii="宋体" w:hAnsi="宋体"/>
          <w:sz w:val="24"/>
        </w:rPr>
        <w:t xml:space="preserve">  财务报表包括资产负债表、收入支出总表、支出明细表、基本数字表以及预算外资金收支明细表、专项资金支出情况表及其他有关报表或附表。</w:t>
      </w:r>
      <w:bookmarkEnd w:id="228"/>
      <w:bookmarkEnd w:id="229"/>
    </w:p>
    <w:p>
      <w:pPr>
        <w:spacing w:line="400" w:lineRule="atLeast"/>
        <w:ind w:firstLine="482" w:firstLineChars="200"/>
        <w:rPr>
          <w:rFonts w:hint="eastAsia" w:ascii="宋体" w:hAnsi="宋体"/>
          <w:sz w:val="24"/>
        </w:rPr>
      </w:pPr>
      <w:bookmarkStart w:id="230" w:name="_Toc205885253"/>
      <w:bookmarkStart w:id="231" w:name="_Toc205886265"/>
      <w:r>
        <w:rPr>
          <w:rFonts w:ascii="宋体" w:hAnsi="宋体"/>
          <w:b/>
          <w:sz w:val="24"/>
        </w:rPr>
        <w:t>第六十一条</w:t>
      </w:r>
      <w:r>
        <w:rPr>
          <w:rFonts w:ascii="宋体" w:hAnsi="宋体"/>
          <w:sz w:val="24"/>
        </w:rPr>
        <w:t xml:space="preserve">  财务情况说明书应当反映本期收入、支出、结余、专项经费使用、资产增减变动情况，说明影响本期或下期财务状况的重要事项及原因，总结本期财务管理经验，对存在的问题提出改进意见等。</w:t>
      </w:r>
    </w:p>
    <w:p>
      <w:pPr>
        <w:spacing w:line="400" w:lineRule="atLeast"/>
        <w:ind w:firstLine="480" w:firstLineChars="200"/>
        <w:rPr>
          <w:rFonts w:hint="eastAsia" w:ascii="宋体" w:hAnsi="宋体"/>
          <w:sz w:val="24"/>
        </w:rPr>
      </w:pPr>
      <w:r>
        <w:rPr>
          <w:rFonts w:ascii="宋体" w:hAnsi="宋体"/>
          <w:sz w:val="24"/>
        </w:rPr>
        <w:t>各部门进行财务分析，按照财政部的有关规定执行，也可根据本部门的实际情况增加其他财务分析指标。</w:t>
      </w:r>
      <w:bookmarkEnd w:id="230"/>
      <w:bookmarkEnd w:id="231"/>
      <w:r>
        <w:rPr>
          <w:rFonts w:ascii="宋体" w:hAnsi="宋体"/>
          <w:sz w:val="24"/>
        </w:rPr>
        <w:t xml:space="preserve"> </w:t>
      </w:r>
    </w:p>
    <w:p>
      <w:pPr>
        <w:spacing w:line="400" w:lineRule="atLeast"/>
        <w:ind w:firstLine="482" w:firstLineChars="200"/>
        <w:rPr>
          <w:sz w:val="24"/>
        </w:rPr>
      </w:pPr>
      <w:bookmarkStart w:id="232" w:name="_Toc205885254"/>
      <w:bookmarkStart w:id="233" w:name="_Toc205886266"/>
      <w:r>
        <w:rPr>
          <w:rFonts w:ascii="宋体" w:hAnsi="宋体"/>
          <w:b/>
          <w:sz w:val="24"/>
        </w:rPr>
        <w:t>第六十二条</w:t>
      </w:r>
      <w:r>
        <w:rPr>
          <w:rFonts w:ascii="宋体" w:hAnsi="宋体"/>
          <w:sz w:val="24"/>
        </w:rPr>
        <w:t xml:space="preserve">  财务报告必须真实、准确、完整地反映本部门的财务状况，财务报告的编制必须依据会计核算资料和有关文件进行，做到账表一致</w:t>
      </w:r>
      <w:r>
        <w:rPr>
          <w:rFonts w:hAnsi="宋体"/>
          <w:sz w:val="24"/>
        </w:rPr>
        <w:t>。</w:t>
      </w:r>
      <w:bookmarkEnd w:id="232"/>
      <w:bookmarkEnd w:id="233"/>
    </w:p>
    <w:p>
      <w:pPr>
        <w:spacing w:before="203" w:beforeLines="50" w:after="203" w:afterLines="50" w:line="400" w:lineRule="atLeast"/>
        <w:jc w:val="center"/>
        <w:rPr>
          <w:rFonts w:eastAsia="黑体"/>
          <w:sz w:val="24"/>
        </w:rPr>
      </w:pPr>
      <w:bookmarkStart w:id="234" w:name="_Toc205886267"/>
      <w:bookmarkStart w:id="235" w:name="_Toc205885255"/>
      <w:r>
        <w:rPr>
          <w:rFonts w:eastAsia="黑体"/>
          <w:sz w:val="24"/>
        </w:rPr>
        <w:t>第十章  财务监督</w:t>
      </w:r>
      <w:bookmarkEnd w:id="234"/>
      <w:bookmarkEnd w:id="235"/>
    </w:p>
    <w:p>
      <w:pPr>
        <w:spacing w:line="400" w:lineRule="atLeast"/>
        <w:ind w:firstLine="482" w:firstLineChars="200"/>
        <w:rPr>
          <w:rFonts w:hint="eastAsia" w:ascii="宋体" w:hAnsi="宋体"/>
          <w:sz w:val="24"/>
        </w:rPr>
      </w:pPr>
      <w:bookmarkStart w:id="236" w:name="_Toc205886268"/>
      <w:bookmarkStart w:id="237" w:name="_Toc205885256"/>
      <w:r>
        <w:rPr>
          <w:rFonts w:ascii="宋体" w:hAnsi="宋体"/>
          <w:b/>
          <w:sz w:val="24"/>
        </w:rPr>
        <w:t>第六十三条</w:t>
      </w:r>
      <w:r>
        <w:rPr>
          <w:rFonts w:ascii="宋体" w:hAnsi="宋体"/>
          <w:sz w:val="24"/>
        </w:rPr>
        <w:t xml:space="preserve">  财务监督是各部门根据国家有关法律、法规和财务规章制度，对本部门及其后勤单位财务活动进行审核、检查、纠正的行为。各部门的财务监督是国家财政监督的重要组成部分。</w:t>
      </w:r>
      <w:bookmarkEnd w:id="236"/>
      <w:bookmarkEnd w:id="237"/>
    </w:p>
    <w:p>
      <w:pPr>
        <w:spacing w:line="400" w:lineRule="atLeast"/>
        <w:ind w:firstLine="482" w:firstLineChars="200"/>
        <w:rPr>
          <w:rFonts w:hint="eastAsia" w:ascii="宋体" w:hAnsi="宋体"/>
          <w:sz w:val="24"/>
        </w:rPr>
      </w:pPr>
      <w:bookmarkStart w:id="238" w:name="_Toc205886269"/>
      <w:bookmarkStart w:id="239" w:name="_Toc205885257"/>
      <w:r>
        <w:rPr>
          <w:rFonts w:ascii="宋体" w:hAnsi="宋体"/>
          <w:b/>
          <w:sz w:val="24"/>
        </w:rPr>
        <w:t>第六十四条</w:t>
      </w:r>
      <w:r>
        <w:rPr>
          <w:rFonts w:ascii="宋体" w:hAnsi="宋体"/>
          <w:sz w:val="24"/>
        </w:rPr>
        <w:t xml:space="preserve">  财务监督的主要内容包括：</w:t>
      </w:r>
      <w:bookmarkEnd w:id="238"/>
      <w:bookmarkEnd w:id="239"/>
    </w:p>
    <w:p>
      <w:pPr>
        <w:spacing w:line="400" w:lineRule="atLeast"/>
        <w:ind w:firstLine="480" w:firstLineChars="200"/>
        <w:rPr>
          <w:rFonts w:hint="eastAsia" w:ascii="宋体" w:hAnsi="宋体"/>
          <w:sz w:val="24"/>
        </w:rPr>
      </w:pPr>
      <w:bookmarkStart w:id="240" w:name="_Toc205885258"/>
      <w:bookmarkStart w:id="241" w:name="_Toc205886270"/>
      <w:r>
        <w:rPr>
          <w:rFonts w:ascii="宋体" w:hAnsi="宋体"/>
          <w:sz w:val="24"/>
        </w:rPr>
        <w:t>（一）对预算编制和财务报告的真实性、准确性、完整性进行审核、检查；</w:t>
      </w:r>
      <w:bookmarkEnd w:id="240"/>
      <w:bookmarkEnd w:id="241"/>
    </w:p>
    <w:p>
      <w:pPr>
        <w:spacing w:line="400" w:lineRule="atLeast"/>
        <w:ind w:firstLine="480" w:firstLineChars="200"/>
        <w:rPr>
          <w:rFonts w:hint="eastAsia" w:ascii="宋体" w:hAnsi="宋体"/>
          <w:sz w:val="24"/>
        </w:rPr>
      </w:pPr>
      <w:bookmarkStart w:id="242" w:name="_Toc205886271"/>
      <w:bookmarkStart w:id="243" w:name="_Toc205885259"/>
      <w:r>
        <w:rPr>
          <w:rFonts w:ascii="宋体" w:hAnsi="宋体"/>
          <w:sz w:val="24"/>
        </w:rPr>
        <w:t>（二）对各项收入、支出的范围和标准是否符合国家法律、法规和财务规章制度的情况进行审核，检查；</w:t>
      </w:r>
      <w:bookmarkEnd w:id="242"/>
      <w:bookmarkEnd w:id="243"/>
    </w:p>
    <w:p>
      <w:pPr>
        <w:spacing w:line="400" w:lineRule="atLeast"/>
        <w:ind w:firstLine="480" w:firstLineChars="200"/>
        <w:rPr>
          <w:rFonts w:hint="eastAsia" w:ascii="宋体" w:hAnsi="宋体"/>
          <w:sz w:val="24"/>
        </w:rPr>
      </w:pPr>
      <w:bookmarkStart w:id="244" w:name="_Toc205886272"/>
      <w:bookmarkStart w:id="245" w:name="_Toc205885260"/>
      <w:r>
        <w:rPr>
          <w:rFonts w:ascii="宋体" w:hAnsi="宋体"/>
          <w:sz w:val="24"/>
        </w:rPr>
        <w:t>（三）对财产物资、货币资金管理要求和措施的落实情况进行审核、督促；</w:t>
      </w:r>
      <w:bookmarkEnd w:id="244"/>
      <w:bookmarkEnd w:id="245"/>
    </w:p>
    <w:p>
      <w:pPr>
        <w:spacing w:line="400" w:lineRule="atLeast"/>
        <w:ind w:firstLine="480" w:firstLineChars="200"/>
        <w:rPr>
          <w:rFonts w:hint="eastAsia" w:ascii="宋体" w:hAnsi="宋体"/>
          <w:sz w:val="24"/>
        </w:rPr>
      </w:pPr>
      <w:bookmarkStart w:id="246" w:name="_Toc205886273"/>
      <w:bookmarkStart w:id="247" w:name="_Toc205885261"/>
      <w:r>
        <w:rPr>
          <w:rFonts w:ascii="宋体" w:hAnsi="宋体"/>
          <w:sz w:val="24"/>
        </w:rPr>
        <w:t>（四）检查内部审计制度、岗位责任制是否真正贯彻落实；</w:t>
      </w:r>
      <w:bookmarkEnd w:id="246"/>
      <w:bookmarkEnd w:id="247"/>
      <w:r>
        <w:rPr>
          <w:rFonts w:ascii="宋体" w:hAnsi="宋体"/>
          <w:sz w:val="24"/>
        </w:rPr>
        <w:t xml:space="preserve"> </w:t>
      </w:r>
    </w:p>
    <w:p>
      <w:pPr>
        <w:spacing w:line="400" w:lineRule="atLeast"/>
        <w:ind w:firstLine="480" w:firstLineChars="200"/>
        <w:rPr>
          <w:rFonts w:hint="eastAsia" w:ascii="宋体" w:hAnsi="宋体"/>
          <w:sz w:val="24"/>
        </w:rPr>
      </w:pPr>
      <w:bookmarkStart w:id="248" w:name="_Toc205886274"/>
      <w:bookmarkStart w:id="249" w:name="_Toc205885262"/>
      <w:r>
        <w:rPr>
          <w:rFonts w:ascii="宋体" w:hAnsi="宋体"/>
          <w:sz w:val="24"/>
        </w:rPr>
        <w:t>（五）对违反财务规章制度问题的纠正情况进行检查。</w:t>
      </w:r>
      <w:bookmarkEnd w:id="248"/>
      <w:bookmarkEnd w:id="249"/>
    </w:p>
    <w:p>
      <w:pPr>
        <w:spacing w:line="400" w:lineRule="atLeast"/>
        <w:ind w:firstLine="482" w:firstLineChars="200"/>
        <w:rPr>
          <w:rFonts w:hint="eastAsia" w:ascii="宋体" w:hAnsi="宋体"/>
          <w:sz w:val="24"/>
        </w:rPr>
      </w:pPr>
      <w:bookmarkStart w:id="250" w:name="_Toc205886275"/>
      <w:bookmarkStart w:id="251" w:name="_Toc205885263"/>
      <w:r>
        <w:rPr>
          <w:rFonts w:ascii="宋体" w:hAnsi="宋体"/>
          <w:b/>
          <w:sz w:val="24"/>
        </w:rPr>
        <w:t xml:space="preserve">第六十五条  </w:t>
      </w:r>
      <w:r>
        <w:rPr>
          <w:rFonts w:ascii="宋体" w:hAnsi="宋体"/>
          <w:sz w:val="24"/>
        </w:rPr>
        <w:t>各部门应当建立健全内部稽核制度和审计制度，指定专人负责财务监督工作。各部门要通过账务检查、现场抽查、联审互查、重点检查等方式，搞好经常性的财务监督工作。</w:t>
      </w:r>
      <w:bookmarkEnd w:id="250"/>
      <w:bookmarkEnd w:id="251"/>
      <w:r>
        <w:rPr>
          <w:rFonts w:ascii="宋体" w:hAnsi="宋体"/>
          <w:sz w:val="24"/>
        </w:rPr>
        <w:t>　　</w:t>
      </w:r>
    </w:p>
    <w:p>
      <w:pPr>
        <w:spacing w:line="400" w:lineRule="atLeast"/>
        <w:ind w:firstLine="482" w:firstLineChars="200"/>
        <w:rPr>
          <w:rFonts w:hint="eastAsia" w:ascii="宋体" w:hAnsi="宋体"/>
          <w:sz w:val="24"/>
        </w:rPr>
      </w:pPr>
      <w:bookmarkStart w:id="252" w:name="_Toc205885264"/>
      <w:bookmarkStart w:id="253" w:name="_Toc205886276"/>
      <w:r>
        <w:rPr>
          <w:rFonts w:ascii="宋体" w:hAnsi="宋体"/>
          <w:b/>
          <w:sz w:val="24"/>
        </w:rPr>
        <w:t>第六十六条</w:t>
      </w:r>
      <w:r>
        <w:rPr>
          <w:rFonts w:ascii="宋体" w:hAnsi="宋体"/>
          <w:sz w:val="24"/>
        </w:rPr>
        <w:t xml:space="preserve">  独立核算的机关后勤服务单位的财务监督工作，由行政财务管理部门负责，必要时由主管预算单位进行专项审核、检查。</w:t>
      </w:r>
      <w:bookmarkEnd w:id="252"/>
      <w:bookmarkEnd w:id="253"/>
    </w:p>
    <w:p>
      <w:pPr>
        <w:spacing w:line="400" w:lineRule="atLeast"/>
        <w:ind w:firstLine="482" w:firstLineChars="200"/>
        <w:rPr>
          <w:rFonts w:hint="eastAsia" w:ascii="宋体" w:hAnsi="宋体"/>
          <w:sz w:val="24"/>
        </w:rPr>
      </w:pPr>
      <w:bookmarkStart w:id="254" w:name="_Toc205886277"/>
      <w:bookmarkStart w:id="255" w:name="_Toc205885265"/>
      <w:r>
        <w:rPr>
          <w:rFonts w:ascii="宋体" w:hAnsi="宋体"/>
          <w:b/>
          <w:sz w:val="24"/>
        </w:rPr>
        <w:t>第六十七条</w:t>
      </w:r>
      <w:r>
        <w:rPr>
          <w:rFonts w:ascii="宋体" w:hAnsi="宋体"/>
          <w:sz w:val="24"/>
        </w:rPr>
        <w:t xml:space="preserve">  各部门在财务监督中要坚持原则，依法办事，有错必纠，对违反财务规章制度的问题，要根据有关规定及时进行处理。</w:t>
      </w:r>
      <w:bookmarkEnd w:id="254"/>
      <w:bookmarkEnd w:id="255"/>
    </w:p>
    <w:p>
      <w:pPr>
        <w:spacing w:line="400" w:lineRule="atLeast"/>
        <w:ind w:firstLine="482" w:firstLineChars="200"/>
        <w:rPr>
          <w:rFonts w:ascii="宋体" w:hAnsi="宋体"/>
          <w:sz w:val="24"/>
        </w:rPr>
      </w:pPr>
      <w:bookmarkStart w:id="256" w:name="_Toc205886278"/>
      <w:bookmarkStart w:id="257" w:name="_Toc205885266"/>
      <w:r>
        <w:rPr>
          <w:rFonts w:ascii="宋体" w:hAnsi="宋体"/>
          <w:b/>
          <w:sz w:val="24"/>
        </w:rPr>
        <w:t>第六十八条</w:t>
      </w:r>
      <w:r>
        <w:rPr>
          <w:rFonts w:ascii="宋体" w:hAnsi="宋体"/>
          <w:sz w:val="24"/>
        </w:rPr>
        <w:t xml:space="preserve">  各部门要积极、主动配合上级审计部门依法进行的审计、检查活动。</w:t>
      </w:r>
      <w:bookmarkEnd w:id="256"/>
      <w:bookmarkEnd w:id="257"/>
    </w:p>
    <w:p>
      <w:pPr>
        <w:spacing w:before="203" w:beforeLines="50" w:after="203" w:afterLines="50" w:line="400" w:lineRule="atLeast"/>
        <w:jc w:val="center"/>
        <w:rPr>
          <w:rFonts w:eastAsia="黑体"/>
          <w:sz w:val="24"/>
        </w:rPr>
      </w:pPr>
      <w:bookmarkStart w:id="258" w:name="_Toc205886279"/>
      <w:bookmarkStart w:id="259" w:name="_Toc205885267"/>
      <w:r>
        <w:rPr>
          <w:rFonts w:eastAsia="黑体"/>
          <w:sz w:val="24"/>
        </w:rPr>
        <w:t>第十一章  附</w:t>
      </w:r>
      <w:r>
        <w:rPr>
          <w:rFonts w:hint="eastAsia" w:eastAsia="黑体"/>
          <w:sz w:val="24"/>
        </w:rPr>
        <w:t xml:space="preserve">  </w:t>
      </w:r>
      <w:r>
        <w:rPr>
          <w:rFonts w:eastAsia="黑体"/>
          <w:sz w:val="24"/>
        </w:rPr>
        <w:t>则</w:t>
      </w:r>
      <w:bookmarkEnd w:id="258"/>
      <w:bookmarkEnd w:id="259"/>
    </w:p>
    <w:p>
      <w:pPr>
        <w:spacing w:line="400" w:lineRule="atLeast"/>
        <w:ind w:firstLine="482" w:firstLineChars="200"/>
        <w:rPr>
          <w:rFonts w:ascii="宋体" w:hAnsi="宋体"/>
          <w:sz w:val="24"/>
        </w:rPr>
      </w:pPr>
      <w:bookmarkStart w:id="260" w:name="_Toc205886280"/>
      <w:bookmarkStart w:id="261" w:name="_Toc205885268"/>
      <w:r>
        <w:rPr>
          <w:rFonts w:ascii="宋体" w:hAnsi="宋体"/>
          <w:b/>
          <w:sz w:val="24"/>
        </w:rPr>
        <w:t>第六十九条</w:t>
      </w:r>
      <w:r>
        <w:rPr>
          <w:rFonts w:ascii="宋体" w:hAnsi="宋体"/>
          <w:sz w:val="24"/>
        </w:rPr>
        <w:t xml:space="preserve">  本实施细则由国务院机关事务管理局负责解释。</w:t>
      </w:r>
      <w:bookmarkEnd w:id="260"/>
      <w:bookmarkEnd w:id="261"/>
    </w:p>
    <w:p>
      <w:pPr>
        <w:spacing w:line="400" w:lineRule="atLeast"/>
        <w:ind w:firstLine="482" w:firstLineChars="200"/>
        <w:rPr>
          <w:rFonts w:ascii="宋体" w:hAnsi="宋体"/>
          <w:sz w:val="24"/>
        </w:rPr>
      </w:pPr>
      <w:bookmarkStart w:id="262" w:name="_Toc205886281"/>
      <w:bookmarkStart w:id="263" w:name="_Toc205885269"/>
      <w:r>
        <w:rPr>
          <w:rFonts w:ascii="宋体" w:hAnsi="宋体"/>
          <w:b/>
          <w:sz w:val="24"/>
        </w:rPr>
        <w:t>第七十条</w:t>
      </w:r>
      <w:r>
        <w:rPr>
          <w:rFonts w:ascii="宋体" w:hAnsi="宋体"/>
          <w:sz w:val="24"/>
        </w:rPr>
        <w:t xml:space="preserve">  本实施细则自一九九八年七月一日起施行。《中央国家机关机关基金管理办法》（〔92〕国管财字第311号）同时废止。</w:t>
      </w:r>
      <w:bookmarkEnd w:id="262"/>
      <w:bookmarkEnd w:id="263"/>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苹方-简">
    <w:panose1 w:val="020B0400000000000000"/>
    <w:charset w:val="86"/>
    <w:family w:val="auto"/>
    <w:pitch w:val="default"/>
    <w:sig w:usb0="A00002FF" w:usb1="7ACFFDFB" w:usb2="00000017" w:usb3="00000000" w:csb0="00040001"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仿宋_GB2312">
    <w:altName w:val="方正仿宋_GBK"/>
    <w:panose1 w:val="02010609030101010101"/>
    <w:charset w:val="00"/>
    <w:family w:val="modern"/>
    <w:pitch w:val="default"/>
    <w:sig w:usb0="00000000" w:usb1="00000000" w:usb2="00000000" w:usb3="00000000" w:csb0="00040000" w:csb1="00000000"/>
  </w:font>
  <w:font w:name="方正仿宋简体">
    <w:altName w:val="苹方-简"/>
    <w:panose1 w:val="03000509000000000000"/>
    <w:charset w:val="00"/>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小标宋简体">
    <w:altName w:val="宋体"/>
    <w:panose1 w:val="03000509000000000000"/>
    <w:charset w:val="00"/>
    <w:family w:val="auto"/>
    <w:pitch w:val="default"/>
    <w:sig w:usb0="00000000" w:usb1="00000000" w:usb2="00000000" w:usb3="00000000" w:csb0="00040000" w:csb1="00000000"/>
  </w:font>
  <w:font w:name="楷体_GB2312">
    <w:altName w:val="汉仪楷体简"/>
    <w:panose1 w:val="02010609030101010101"/>
    <w:charset w:val="00"/>
    <w:family w:val="modern"/>
    <w:pitch w:val="default"/>
    <w:sig w:usb0="00000000" w:usb1="00000000" w:usb2="00000000" w:usb3="00000000" w:csb0="00040000" w:csb1="00000000"/>
  </w:font>
  <w:font w:name="黑体">
    <w:panose1 w:val="02010609060101010101"/>
    <w:charset w:val="86"/>
    <w:family w:val="auto"/>
    <w:pitch w:val="default"/>
    <w:sig w:usb0="800002BF" w:usb1="38CF7CFA" w:usb2="00000016" w:usb3="00000000" w:csb0="00040001" w:csb1="00000000"/>
  </w:font>
  <w:font w:name="汉仪楷体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FE5956"/>
    <w:rsid w:val="2FFE5956"/>
    <w:rsid w:val="3DFF8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7771</Words>
  <Characters>7787</Characters>
  <Lines>0</Lines>
  <Paragraphs>0</Paragraphs>
  <ScaleCrop>false</ScaleCrop>
  <LinksUpToDate>false</LinksUpToDate>
  <CharactersWithSpaces>7970</CharactersWithSpaces>
  <Application>WPS Office_2.7.1.4479_F1E327BC-269C-435d-A152-05C5408002CA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2021-12-27T00:32:00Z</dcterms:created>
  <dc:creator>sunyadong</dc:creator>
  <cp:lastModifiedBy>sunyadong</cp:lastModifiedBy>
  <dcterms:modified xsi:type="dcterms:W3CDTF">2021-12-27T00:33:28Z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2052-2.7.1.4479</vt:lpwstr>
  </property>
</Properties>
</file>